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F21" w:rsidRDefault="0061638A" w:rsidP="00430F21">
      <w:pPr>
        <w:pStyle w:val="Heading1"/>
      </w:pPr>
      <w:bookmarkStart w:id="0" w:name="_Toc456449029"/>
      <w:bookmarkStart w:id="1" w:name="_GoBack"/>
      <w:bookmarkEnd w:id="1"/>
      <w:r>
        <w:t>Submission</w:t>
      </w:r>
      <w:bookmarkEnd w:id="0"/>
    </w:p>
    <w:p w:rsidR="0061638A" w:rsidRDefault="0061638A" w:rsidP="00430F21">
      <w:pPr>
        <w:pStyle w:val="Heading1"/>
        <w:rPr>
          <w:sz w:val="24"/>
          <w:szCs w:val="24"/>
        </w:rPr>
      </w:pPr>
      <w:r>
        <w:t>2016 National Research Infrastructure Roadmap Capability Issues Paper</w:t>
      </w:r>
    </w:p>
    <w:tbl>
      <w:tblPr>
        <w:tblW w:w="0" w:type="auto"/>
        <w:tblLayout w:type="fixed"/>
        <w:tblCellMar>
          <w:left w:w="113" w:type="dxa"/>
        </w:tblCellMar>
        <w:tblLook w:val="0000" w:firstRow="0" w:lastRow="0" w:firstColumn="0" w:lastColumn="0" w:noHBand="0" w:noVBand="0"/>
      </w:tblPr>
      <w:tblGrid>
        <w:gridCol w:w="4076"/>
        <w:gridCol w:w="5165"/>
      </w:tblGrid>
      <w:tr w:rsidR="0061638A">
        <w:tc>
          <w:tcPr>
            <w:tcW w:w="4076" w:type="dxa"/>
            <w:tcBorders>
              <w:top w:val="single" w:sz="4" w:space="0" w:color="000000"/>
              <w:left w:val="single" w:sz="4" w:space="0" w:color="000000"/>
              <w:bottom w:val="single" w:sz="4" w:space="0" w:color="000000"/>
              <w:right w:val="single" w:sz="4" w:space="0" w:color="000000"/>
            </w:tcBorders>
            <w:shd w:val="clear" w:color="auto" w:fill="auto"/>
          </w:tcPr>
          <w:p w:rsidR="0061638A" w:rsidRDefault="0061638A" w:rsidP="007915DA">
            <w:pPr>
              <w:spacing w:after="120" w:line="100" w:lineRule="atLeast"/>
              <w:rPr>
                <w:b/>
                <w:sz w:val="24"/>
                <w:szCs w:val="24"/>
              </w:rPr>
            </w:pPr>
            <w:r>
              <w:rPr>
                <w:b/>
                <w:sz w:val="24"/>
                <w:szCs w:val="24"/>
              </w:rPr>
              <w:t>Name</w:t>
            </w:r>
          </w:p>
        </w:tc>
        <w:tc>
          <w:tcPr>
            <w:tcW w:w="5165" w:type="dxa"/>
            <w:tcBorders>
              <w:top w:val="single" w:sz="4" w:space="0" w:color="000000"/>
              <w:left w:val="single" w:sz="4" w:space="0" w:color="000000"/>
              <w:bottom w:val="single" w:sz="4" w:space="0" w:color="000000"/>
              <w:right w:val="single" w:sz="4" w:space="0" w:color="000000"/>
            </w:tcBorders>
            <w:shd w:val="clear" w:color="auto" w:fill="auto"/>
          </w:tcPr>
          <w:p w:rsidR="0061638A" w:rsidRDefault="0061638A" w:rsidP="007915DA">
            <w:pPr>
              <w:spacing w:after="120" w:line="100" w:lineRule="atLeast"/>
              <w:rPr>
                <w:b/>
                <w:sz w:val="24"/>
                <w:szCs w:val="24"/>
              </w:rPr>
            </w:pPr>
            <w:r>
              <w:rPr>
                <w:b/>
                <w:sz w:val="24"/>
                <w:szCs w:val="24"/>
              </w:rPr>
              <w:t>Jeremy Mould</w:t>
            </w:r>
          </w:p>
        </w:tc>
      </w:tr>
      <w:tr w:rsidR="0061638A">
        <w:tc>
          <w:tcPr>
            <w:tcW w:w="4076" w:type="dxa"/>
            <w:tcBorders>
              <w:top w:val="single" w:sz="4" w:space="0" w:color="000000"/>
              <w:left w:val="single" w:sz="4" w:space="0" w:color="000000"/>
              <w:bottom w:val="single" w:sz="4" w:space="0" w:color="000000"/>
              <w:right w:val="single" w:sz="4" w:space="0" w:color="000000"/>
            </w:tcBorders>
            <w:shd w:val="clear" w:color="auto" w:fill="auto"/>
          </w:tcPr>
          <w:p w:rsidR="0061638A" w:rsidRDefault="0061638A" w:rsidP="007915DA">
            <w:pPr>
              <w:spacing w:after="120" w:line="100" w:lineRule="atLeast"/>
              <w:rPr>
                <w:b/>
                <w:sz w:val="24"/>
                <w:szCs w:val="24"/>
              </w:rPr>
            </w:pPr>
            <w:r>
              <w:rPr>
                <w:b/>
                <w:sz w:val="24"/>
                <w:szCs w:val="24"/>
              </w:rPr>
              <w:t>Title/role</w:t>
            </w:r>
          </w:p>
        </w:tc>
        <w:tc>
          <w:tcPr>
            <w:tcW w:w="5165" w:type="dxa"/>
            <w:tcBorders>
              <w:top w:val="single" w:sz="4" w:space="0" w:color="000000"/>
              <w:left w:val="single" w:sz="4" w:space="0" w:color="000000"/>
              <w:bottom w:val="single" w:sz="4" w:space="0" w:color="000000"/>
              <w:right w:val="single" w:sz="4" w:space="0" w:color="000000"/>
            </w:tcBorders>
            <w:shd w:val="clear" w:color="auto" w:fill="auto"/>
          </w:tcPr>
          <w:p w:rsidR="0061638A" w:rsidRDefault="0061638A" w:rsidP="007915DA">
            <w:pPr>
              <w:spacing w:after="120" w:line="100" w:lineRule="atLeast"/>
              <w:rPr>
                <w:b/>
                <w:sz w:val="24"/>
                <w:szCs w:val="24"/>
              </w:rPr>
            </w:pPr>
            <w:r>
              <w:rPr>
                <w:b/>
                <w:sz w:val="24"/>
                <w:szCs w:val="24"/>
              </w:rPr>
              <w:t>Prof</w:t>
            </w:r>
            <w:r w:rsidR="007915DA">
              <w:rPr>
                <w:b/>
                <w:sz w:val="24"/>
                <w:szCs w:val="24"/>
              </w:rPr>
              <w:t>essor</w:t>
            </w:r>
          </w:p>
        </w:tc>
      </w:tr>
      <w:tr w:rsidR="0061638A">
        <w:tc>
          <w:tcPr>
            <w:tcW w:w="4076" w:type="dxa"/>
            <w:tcBorders>
              <w:top w:val="single" w:sz="4" w:space="0" w:color="000000"/>
              <w:left w:val="single" w:sz="4" w:space="0" w:color="000000"/>
              <w:bottom w:val="single" w:sz="4" w:space="0" w:color="000000"/>
              <w:right w:val="single" w:sz="4" w:space="0" w:color="000000"/>
            </w:tcBorders>
            <w:shd w:val="clear" w:color="auto" w:fill="auto"/>
          </w:tcPr>
          <w:p w:rsidR="0061638A" w:rsidRDefault="0061638A" w:rsidP="007915DA">
            <w:pPr>
              <w:spacing w:after="120" w:line="100" w:lineRule="atLeast"/>
              <w:rPr>
                <w:b/>
                <w:sz w:val="24"/>
                <w:szCs w:val="24"/>
              </w:rPr>
            </w:pPr>
            <w:r>
              <w:rPr>
                <w:b/>
                <w:sz w:val="24"/>
                <w:szCs w:val="24"/>
              </w:rPr>
              <w:t>Organisation</w:t>
            </w:r>
          </w:p>
        </w:tc>
        <w:tc>
          <w:tcPr>
            <w:tcW w:w="5165" w:type="dxa"/>
            <w:tcBorders>
              <w:top w:val="single" w:sz="4" w:space="0" w:color="000000"/>
              <w:left w:val="single" w:sz="4" w:space="0" w:color="000000"/>
              <w:bottom w:val="single" w:sz="4" w:space="0" w:color="000000"/>
              <w:right w:val="single" w:sz="4" w:space="0" w:color="000000"/>
            </w:tcBorders>
            <w:shd w:val="clear" w:color="auto" w:fill="auto"/>
          </w:tcPr>
          <w:p w:rsidR="0061638A" w:rsidRDefault="0061638A" w:rsidP="007915DA">
            <w:pPr>
              <w:spacing w:after="120" w:line="100" w:lineRule="atLeast"/>
              <w:rPr>
                <w:b/>
                <w:sz w:val="24"/>
                <w:szCs w:val="24"/>
              </w:rPr>
            </w:pPr>
            <w:r>
              <w:rPr>
                <w:b/>
                <w:sz w:val="24"/>
                <w:szCs w:val="24"/>
              </w:rPr>
              <w:t>Swinburne University</w:t>
            </w:r>
          </w:p>
        </w:tc>
      </w:tr>
    </w:tbl>
    <w:p w:rsidR="0061638A" w:rsidRDefault="0061638A" w:rsidP="00430F21">
      <w:pPr>
        <w:pStyle w:val="Heading2"/>
        <w:rPr>
          <w:rFonts w:ascii="Arial" w:hAnsi="Arial"/>
          <w:b/>
          <w:bCs/>
          <w:color w:val="000000"/>
        </w:rPr>
      </w:pPr>
      <w:r>
        <w:t>Question 34:</w:t>
      </w:r>
      <w:r>
        <w:tab/>
        <w:t>Are there any international research infrastructure collaborations or emerging projects that Australia should engage in over the next ten years and beyond?</w:t>
      </w:r>
    </w:p>
    <w:p w:rsidR="0061638A" w:rsidRDefault="0061638A">
      <w:pPr>
        <w:ind w:left="45"/>
        <w:rPr>
          <w:rFonts w:ascii="Arial" w:hAnsi="Arial"/>
          <w:color w:val="000000"/>
        </w:rPr>
      </w:pPr>
      <w:r>
        <w:rPr>
          <w:rFonts w:ascii="Arial" w:hAnsi="Arial" w:cs="Calibri"/>
          <w:b/>
          <w:bCs/>
          <w:color w:val="000000"/>
        </w:rPr>
        <w:t>Roadmap</w:t>
      </w:r>
      <w:r>
        <w:rPr>
          <w:rFonts w:ascii="Arial" w:hAnsi="Arial" w:cs="Calibri"/>
          <w:color w:val="000000"/>
        </w:rPr>
        <w:t>: Modern astronomy research facilities require substantial capital investment, often beyond the means of any single country. Australia currently funds access internationally based telescopes including GEMINI, Magellan and KECK. For other international research facilities, there may be opportunities to be a founding partner or co-invest once established. There is a need for a formal mechanism to determine if Australia should join international research facilities, such as the European Southern Observatory (ESO), Laser Interferometer Gravitational Wave Observatory (LIGO) or the Virgo interferometer experiment.</w:t>
      </w:r>
    </w:p>
    <w:p w:rsidR="0061638A" w:rsidRDefault="0061638A" w:rsidP="00430F21">
      <w:pPr>
        <w:spacing w:before="600"/>
        <w:ind w:left="15"/>
        <w:rPr>
          <w:rFonts w:ascii="Arial" w:hAnsi="Arial"/>
          <w:color w:val="000000"/>
        </w:rPr>
      </w:pPr>
      <w:r>
        <w:rPr>
          <w:rFonts w:ascii="Arial" w:hAnsi="Arial" w:cs="Calibri"/>
          <w:b/>
          <w:bCs/>
          <w:color w:val="000000"/>
        </w:rPr>
        <w:t>Comment</w:t>
      </w:r>
      <w:r>
        <w:rPr>
          <w:rFonts w:ascii="Arial" w:hAnsi="Arial" w:cs="Calibri"/>
          <w:color w:val="000000"/>
        </w:rPr>
        <w:t xml:space="preserve">: The 1995 Academy decadal survey of astronomy gave first priority in research infrastructure to Australian membership of ESO to gain access to its four </w:t>
      </w:r>
      <w:proofErr w:type="spellStart"/>
      <w:r>
        <w:rPr>
          <w:rFonts w:ascii="Arial" w:hAnsi="Arial" w:cs="Calibri"/>
          <w:color w:val="000000"/>
        </w:rPr>
        <w:t>8m</w:t>
      </w:r>
      <w:proofErr w:type="spellEnd"/>
      <w:r>
        <w:rPr>
          <w:rFonts w:ascii="Arial" w:hAnsi="Arial" w:cs="Calibri"/>
          <w:color w:val="000000"/>
        </w:rPr>
        <w:t xml:space="preserve"> optical/infrared telescopes.</w:t>
      </w:r>
    </w:p>
    <w:p w:rsidR="0061638A" w:rsidRDefault="0061638A">
      <w:pPr>
        <w:spacing w:after="0"/>
        <w:rPr>
          <w:rFonts w:ascii="Arial" w:hAnsi="Arial"/>
          <w:color w:val="000000"/>
        </w:rPr>
      </w:pPr>
      <w:r>
        <w:rPr>
          <w:rFonts w:ascii="Arial" w:hAnsi="Arial"/>
          <w:color w:val="000000"/>
        </w:rPr>
        <w:t xml:space="preserve">An MNRF proposal to do this was ranked second to synchrotron access but was vetoed in </w:t>
      </w:r>
      <w:proofErr w:type="gramStart"/>
      <w:r>
        <w:rPr>
          <w:rFonts w:ascii="Arial" w:hAnsi="Arial"/>
          <w:color w:val="000000"/>
        </w:rPr>
        <w:t>the</w:t>
      </w:r>
      <w:proofErr w:type="gramEnd"/>
      <w:r>
        <w:rPr>
          <w:rFonts w:ascii="Arial" w:hAnsi="Arial"/>
          <w:color w:val="000000"/>
        </w:rPr>
        <w:t xml:space="preserve"> Keating cabinet by the minister of the day. The Howard </w:t>
      </w:r>
      <w:proofErr w:type="spellStart"/>
      <w:r>
        <w:rPr>
          <w:rFonts w:ascii="Arial" w:hAnsi="Arial"/>
          <w:color w:val="000000"/>
        </w:rPr>
        <w:t>govt</w:t>
      </w:r>
      <w:proofErr w:type="spellEnd"/>
      <w:r>
        <w:rPr>
          <w:rFonts w:ascii="Arial" w:hAnsi="Arial"/>
          <w:color w:val="000000"/>
        </w:rPr>
        <w:t xml:space="preserve"> subsequently supported Australian membership of Gemini with access to two </w:t>
      </w:r>
      <w:proofErr w:type="spellStart"/>
      <w:r>
        <w:rPr>
          <w:rFonts w:ascii="Arial" w:hAnsi="Arial"/>
          <w:color w:val="000000"/>
        </w:rPr>
        <w:t>8m</w:t>
      </w:r>
      <w:proofErr w:type="spellEnd"/>
      <w:r>
        <w:rPr>
          <w:rFonts w:ascii="Arial" w:hAnsi="Arial"/>
          <w:color w:val="000000"/>
        </w:rPr>
        <w:t xml:space="preserve"> telescopes. However when this agreement was due for renewal, no one in Canberra was prepared to underwrite </w:t>
      </w:r>
      <w:proofErr w:type="gramStart"/>
      <w:r>
        <w:rPr>
          <w:rFonts w:ascii="Arial" w:hAnsi="Arial"/>
          <w:color w:val="000000"/>
        </w:rPr>
        <w:t>it ,</w:t>
      </w:r>
      <w:proofErr w:type="gramEnd"/>
      <w:r>
        <w:rPr>
          <w:rFonts w:ascii="Arial" w:hAnsi="Arial"/>
          <w:color w:val="000000"/>
        </w:rPr>
        <w:t xml:space="preserve"> and membership in this NSF led partnership lapsed recently.</w:t>
      </w:r>
    </w:p>
    <w:p w:rsidR="0061638A" w:rsidRDefault="0061638A" w:rsidP="00430F21">
      <w:pPr>
        <w:spacing w:before="360" w:after="0"/>
      </w:pPr>
      <w:r>
        <w:rPr>
          <w:rFonts w:ascii="Arial" w:hAnsi="Arial"/>
          <w:color w:val="000000"/>
        </w:rPr>
        <w:t xml:space="preserve">The 2005 and 2015 decadal surveys of astronomy continued to prioritise </w:t>
      </w:r>
      <w:proofErr w:type="spellStart"/>
      <w:r>
        <w:rPr>
          <w:rFonts w:ascii="Arial" w:hAnsi="Arial"/>
          <w:color w:val="000000"/>
        </w:rPr>
        <w:t>8m</w:t>
      </w:r>
      <w:proofErr w:type="spellEnd"/>
      <w:r>
        <w:rPr>
          <w:rFonts w:ascii="Arial" w:hAnsi="Arial"/>
          <w:color w:val="000000"/>
        </w:rPr>
        <w:t xml:space="preserve"> facilities. Access to </w:t>
      </w:r>
      <w:proofErr w:type="spellStart"/>
      <w:r>
        <w:rPr>
          <w:rFonts w:ascii="Arial" w:hAnsi="Arial"/>
          <w:color w:val="000000"/>
        </w:rPr>
        <w:t>8m</w:t>
      </w:r>
      <w:proofErr w:type="spellEnd"/>
      <w:r>
        <w:rPr>
          <w:rFonts w:ascii="Arial" w:hAnsi="Arial"/>
          <w:color w:val="000000"/>
        </w:rPr>
        <w:t xml:space="preserve"> telescopes is currently funded by purchasing time piecemeal from 3 providers through </w:t>
      </w:r>
      <w:proofErr w:type="gramStart"/>
      <w:r>
        <w:rPr>
          <w:rFonts w:ascii="Arial" w:hAnsi="Arial"/>
          <w:color w:val="000000"/>
        </w:rPr>
        <w:t>NCRIS .</w:t>
      </w:r>
      <w:proofErr w:type="gramEnd"/>
      <w:r>
        <w:rPr>
          <w:rFonts w:ascii="Arial" w:hAnsi="Arial"/>
          <w:color w:val="000000"/>
        </w:rPr>
        <w:t xml:space="preserve"> It is high time some leadership developed in government to remedy a situation which has driven top researchers to migrate into administration instead of vying for the gold medals in optical and infrared astronomy which we know Australians would win if they were supported as in our comparator nations.</w:t>
      </w:r>
    </w:p>
    <w:sectPr w:rsidR="0061638A">
      <w:pgSz w:w="11906" w:h="16838"/>
      <w:pgMar w:top="1440" w:right="1440" w:bottom="1440" w:left="1440" w:header="720" w:footer="720" w:gutter="0"/>
      <w:cols w:space="72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AR PL UMing HK">
    <w:altName w:val="MS Mincho"/>
    <w:charset w:val="80"/>
    <w:family w:val="auto"/>
    <w:pitch w:val="variable"/>
  </w:font>
  <w:font w:name="font433">
    <w:altName w:val="MS Mincho"/>
    <w:charset w:val="80"/>
    <w:family w:val="auto"/>
    <w:pitch w:val="variable"/>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Lohit Devanagari">
    <w:altName w:val="MS Mincho"/>
    <w:charset w:val="80"/>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0"/>
        </w:tabs>
        <w:ind w:left="432" w:hanging="432"/>
      </w:pPr>
    </w:lvl>
    <w:lvl w:ilvl="1">
      <w:start w:val="1"/>
      <w:numFmt w:val="decimal"/>
      <w:lvlText w:val="%1.%2"/>
      <w:lvlJc w:val="left"/>
      <w:pPr>
        <w:tabs>
          <w:tab w:val="num" w:pos="0"/>
        </w:tabs>
        <w:ind w:left="1002" w:hanging="576"/>
      </w:p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nsid w:val="00000002"/>
    <w:multiLevelType w:val="multilevel"/>
    <w:tmpl w:val="00000002"/>
    <w:lvl w:ilvl="0">
      <w:start w:val="1"/>
      <w:numFmt w:val="decimal"/>
      <w:lvlText w:val="%1"/>
      <w:lvlJc w:val="left"/>
      <w:pPr>
        <w:tabs>
          <w:tab w:val="num" w:pos="0"/>
        </w:tabs>
        <w:ind w:left="432" w:hanging="432"/>
      </w:pPr>
    </w:lvl>
    <w:lvl w:ilvl="1">
      <w:start w:val="1"/>
      <w:numFmt w:val="decimal"/>
      <w:lvlText w:val="%1.%2"/>
      <w:lvlJc w:val="left"/>
      <w:pPr>
        <w:tabs>
          <w:tab w:val="num" w:pos="0"/>
        </w:tabs>
        <w:ind w:left="1002" w:hanging="576"/>
      </w:p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1AF"/>
    <w:rsid w:val="001E5FFA"/>
    <w:rsid w:val="00430F21"/>
    <w:rsid w:val="0061638A"/>
    <w:rsid w:val="007915DA"/>
    <w:rsid w:val="00D031AF"/>
    <w:rsid w:val="00D55C93"/>
    <w:rsid w:val="00E128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pPr>
    <w:rPr>
      <w:rFonts w:ascii="Calibri" w:eastAsia="AR PL UMing HK" w:hAnsi="Calibri" w:cs="font433"/>
      <w:kern w:val="1"/>
      <w:sz w:val="22"/>
      <w:szCs w:val="22"/>
      <w:lang w:eastAsia="en-US"/>
    </w:rPr>
  </w:style>
  <w:style w:type="paragraph" w:styleId="Heading1">
    <w:name w:val="heading 1"/>
    <w:basedOn w:val="Normal"/>
    <w:qFormat/>
    <w:rsid w:val="00430F21"/>
    <w:pPr>
      <w:spacing w:after="240" w:line="100" w:lineRule="atLeast"/>
      <w:ind w:left="432"/>
      <w:contextualSpacing/>
      <w:jc w:val="center"/>
      <w:outlineLvl w:val="0"/>
    </w:pPr>
    <w:rPr>
      <w:b/>
      <w:bCs/>
      <w:color w:val="000000"/>
      <w:sz w:val="36"/>
      <w:szCs w:val="28"/>
    </w:rPr>
  </w:style>
  <w:style w:type="paragraph" w:styleId="Heading2">
    <w:name w:val="heading 2"/>
    <w:basedOn w:val="Normal"/>
    <w:qFormat/>
    <w:rsid w:val="00430F21"/>
    <w:pPr>
      <w:spacing w:before="720"/>
      <w:ind w:left="1440" w:hanging="1440"/>
      <w:outlineLvl w:val="1"/>
    </w:pPr>
    <w:rPr>
      <w:rFonts w:cs="Calibri"/>
    </w:rPr>
  </w:style>
  <w:style w:type="paragraph" w:styleId="Heading3">
    <w:name w:val="heading 3"/>
    <w:basedOn w:val="Normal"/>
    <w:qFormat/>
    <w:pPr>
      <w:numPr>
        <w:ilvl w:val="2"/>
        <w:numId w:val="1"/>
      </w:numPr>
      <w:spacing w:before="200" w:after="0"/>
      <w:outlineLvl w:val="2"/>
    </w:pPr>
    <w:rPr>
      <w:b/>
      <w:bCs/>
    </w:rPr>
  </w:style>
  <w:style w:type="paragraph" w:styleId="Heading4">
    <w:name w:val="heading 4"/>
    <w:basedOn w:val="Normal"/>
    <w:qFormat/>
    <w:pPr>
      <w:numPr>
        <w:ilvl w:val="3"/>
        <w:numId w:val="1"/>
      </w:numPr>
      <w:spacing w:before="200" w:after="0"/>
      <w:outlineLvl w:val="3"/>
    </w:pPr>
    <w:rPr>
      <w:b/>
      <w:bCs/>
      <w:i/>
      <w:iCs/>
    </w:rPr>
  </w:style>
  <w:style w:type="paragraph" w:styleId="Heading5">
    <w:name w:val="heading 5"/>
    <w:basedOn w:val="Normal"/>
    <w:qFormat/>
    <w:pPr>
      <w:numPr>
        <w:ilvl w:val="4"/>
        <w:numId w:val="1"/>
      </w:numPr>
      <w:spacing w:before="200" w:after="0"/>
      <w:outlineLvl w:val="4"/>
    </w:pPr>
    <w:rPr>
      <w:b/>
      <w:bCs/>
      <w:color w:val="757575"/>
    </w:rPr>
  </w:style>
  <w:style w:type="paragraph" w:styleId="Heading6">
    <w:name w:val="heading 6"/>
    <w:basedOn w:val="Normal"/>
    <w:qFormat/>
    <w:pPr>
      <w:numPr>
        <w:ilvl w:val="5"/>
        <w:numId w:val="1"/>
      </w:numPr>
      <w:spacing w:before="200" w:after="0"/>
      <w:outlineLvl w:val="5"/>
    </w:pPr>
    <w:rPr>
      <w:b/>
      <w:bCs/>
      <w:i/>
      <w:iCs/>
      <w:color w:val="757575"/>
    </w:rPr>
  </w:style>
  <w:style w:type="paragraph" w:styleId="Heading7">
    <w:name w:val="heading 7"/>
    <w:basedOn w:val="Normal"/>
    <w:qFormat/>
    <w:pPr>
      <w:numPr>
        <w:ilvl w:val="6"/>
        <w:numId w:val="1"/>
      </w:numPr>
      <w:spacing w:after="0"/>
      <w:outlineLvl w:val="6"/>
    </w:pPr>
    <w:rPr>
      <w:rFonts w:ascii="Cambria" w:hAnsi="Cambria"/>
      <w:i/>
      <w:iCs/>
    </w:rPr>
  </w:style>
  <w:style w:type="paragraph" w:styleId="Heading8">
    <w:name w:val="heading 8"/>
    <w:basedOn w:val="Normal"/>
    <w:qFormat/>
    <w:pPr>
      <w:numPr>
        <w:ilvl w:val="7"/>
        <w:numId w:val="1"/>
      </w:numPr>
      <w:spacing w:after="0"/>
      <w:outlineLvl w:val="7"/>
    </w:pPr>
    <w:rPr>
      <w:rFonts w:ascii="Cambria" w:hAnsi="Cambria"/>
      <w:sz w:val="20"/>
      <w:szCs w:val="20"/>
    </w:rPr>
  </w:style>
  <w:style w:type="paragraph" w:styleId="Heading9">
    <w:name w:val="heading 9"/>
    <w:basedOn w:val="Normal"/>
    <w:qFormat/>
    <w:pPr>
      <w:numPr>
        <w:ilvl w:val="8"/>
        <w:numId w:val="1"/>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character" w:customStyle="1" w:styleId="Heading1Char">
    <w:name w:val="Heading 1 Char"/>
    <w:rPr>
      <w:rFonts w:ascii="Calibri" w:hAnsi="Calibri" w:cs="font433"/>
      <w:b/>
      <w:bCs/>
      <w:color w:val="000000"/>
      <w:sz w:val="36"/>
      <w:szCs w:val="28"/>
    </w:rPr>
  </w:style>
  <w:style w:type="character" w:customStyle="1" w:styleId="Heading2Char">
    <w:name w:val="Heading 2 Char"/>
    <w:rPr>
      <w:rFonts w:ascii="Calibri" w:hAnsi="Calibri" w:cs="font433"/>
      <w:b/>
      <w:bCs/>
      <w:sz w:val="28"/>
      <w:szCs w:val="26"/>
    </w:rPr>
  </w:style>
  <w:style w:type="character" w:customStyle="1" w:styleId="Heading3Char">
    <w:name w:val="Heading 3 Char"/>
    <w:rPr>
      <w:rFonts w:ascii="Calibri" w:hAnsi="Calibri" w:cs="font433"/>
      <w:b/>
      <w:bCs/>
    </w:rPr>
  </w:style>
  <w:style w:type="character" w:customStyle="1" w:styleId="Heading4Char">
    <w:name w:val="Heading 4 Char"/>
    <w:rPr>
      <w:rFonts w:ascii="Calibri" w:hAnsi="Calibri" w:cs="font433"/>
      <w:b/>
      <w:bCs/>
      <w:i/>
      <w:iCs/>
    </w:rPr>
  </w:style>
  <w:style w:type="character" w:customStyle="1" w:styleId="Heading5Char">
    <w:name w:val="Heading 5 Char"/>
    <w:rPr>
      <w:rFonts w:ascii="Calibri" w:hAnsi="Calibri" w:cs="font433"/>
      <w:b/>
      <w:bCs/>
      <w:color w:val="757575"/>
    </w:rPr>
  </w:style>
  <w:style w:type="character" w:customStyle="1" w:styleId="Heading6Char">
    <w:name w:val="Heading 6 Char"/>
    <w:rPr>
      <w:rFonts w:ascii="Calibri" w:hAnsi="Calibri" w:cs="font433"/>
      <w:b/>
      <w:bCs/>
      <w:i/>
      <w:iCs/>
      <w:color w:val="757575"/>
    </w:rPr>
  </w:style>
  <w:style w:type="character" w:customStyle="1" w:styleId="Heading7Char">
    <w:name w:val="Heading 7 Char"/>
    <w:rPr>
      <w:rFonts w:ascii="Cambria" w:hAnsi="Cambria" w:cs="font433"/>
      <w:i/>
      <w:iCs/>
    </w:rPr>
  </w:style>
  <w:style w:type="character" w:customStyle="1" w:styleId="Heading8Char">
    <w:name w:val="Heading 8 Char"/>
    <w:rPr>
      <w:rFonts w:ascii="Cambria" w:hAnsi="Cambria" w:cs="font433"/>
      <w:sz w:val="20"/>
      <w:szCs w:val="20"/>
    </w:rPr>
  </w:style>
  <w:style w:type="character" w:customStyle="1" w:styleId="Heading9Char">
    <w:name w:val="Heading 9 Char"/>
    <w:rPr>
      <w:rFonts w:ascii="Cambria" w:hAnsi="Cambria" w:cs="font433"/>
      <w:i/>
      <w:iCs/>
      <w:spacing w:val="5"/>
      <w:sz w:val="20"/>
      <w:szCs w:val="20"/>
    </w:rPr>
  </w:style>
  <w:style w:type="character" w:customStyle="1" w:styleId="ListLabel1">
    <w:name w:val="ListLabel 1"/>
    <w:rPr>
      <w:b/>
    </w:rPr>
  </w:style>
  <w:style w:type="paragraph" w:customStyle="1" w:styleId="Heading">
    <w:name w:val="Heading"/>
    <w:basedOn w:val="Normal"/>
    <w:next w:val="BodyText"/>
    <w:pPr>
      <w:keepNext/>
      <w:spacing w:before="240" w:after="120"/>
    </w:pPr>
    <w:rPr>
      <w:rFonts w:ascii="Arial" w:hAnsi="Arial" w:cs="Lohit Devanagari"/>
      <w:sz w:val="28"/>
      <w:szCs w:val="28"/>
    </w:rPr>
  </w:style>
  <w:style w:type="paragraph" w:styleId="BodyText">
    <w:name w:val="Body Text"/>
    <w:basedOn w:val="Normal"/>
    <w:pPr>
      <w:spacing w:after="12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rPr>
      <w:rFonts w:cs="Lohit Devanagari"/>
    </w:rPr>
  </w:style>
  <w:style w:type="paragraph" w:customStyle="1" w:styleId="LetterBody">
    <w:name w:val="Letter Body"/>
    <w:basedOn w:val="Normal"/>
    <w:pPr>
      <w:spacing w:after="120" w:line="100" w:lineRule="atLeast"/>
    </w:pPr>
    <w:rPr>
      <w:rFonts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pPr>
    <w:rPr>
      <w:rFonts w:ascii="Calibri" w:eastAsia="AR PL UMing HK" w:hAnsi="Calibri" w:cs="font433"/>
      <w:kern w:val="1"/>
      <w:sz w:val="22"/>
      <w:szCs w:val="22"/>
      <w:lang w:eastAsia="en-US"/>
    </w:rPr>
  </w:style>
  <w:style w:type="paragraph" w:styleId="Heading1">
    <w:name w:val="heading 1"/>
    <w:basedOn w:val="Normal"/>
    <w:qFormat/>
    <w:rsid w:val="00430F21"/>
    <w:pPr>
      <w:spacing w:after="240" w:line="100" w:lineRule="atLeast"/>
      <w:ind w:left="432"/>
      <w:contextualSpacing/>
      <w:jc w:val="center"/>
      <w:outlineLvl w:val="0"/>
    </w:pPr>
    <w:rPr>
      <w:b/>
      <w:bCs/>
      <w:color w:val="000000"/>
      <w:sz w:val="36"/>
      <w:szCs w:val="28"/>
    </w:rPr>
  </w:style>
  <w:style w:type="paragraph" w:styleId="Heading2">
    <w:name w:val="heading 2"/>
    <w:basedOn w:val="Normal"/>
    <w:qFormat/>
    <w:rsid w:val="00430F21"/>
    <w:pPr>
      <w:spacing w:before="720"/>
      <w:ind w:left="1440" w:hanging="1440"/>
      <w:outlineLvl w:val="1"/>
    </w:pPr>
    <w:rPr>
      <w:rFonts w:cs="Calibri"/>
    </w:rPr>
  </w:style>
  <w:style w:type="paragraph" w:styleId="Heading3">
    <w:name w:val="heading 3"/>
    <w:basedOn w:val="Normal"/>
    <w:qFormat/>
    <w:pPr>
      <w:numPr>
        <w:ilvl w:val="2"/>
        <w:numId w:val="1"/>
      </w:numPr>
      <w:spacing w:before="200" w:after="0"/>
      <w:outlineLvl w:val="2"/>
    </w:pPr>
    <w:rPr>
      <w:b/>
      <w:bCs/>
    </w:rPr>
  </w:style>
  <w:style w:type="paragraph" w:styleId="Heading4">
    <w:name w:val="heading 4"/>
    <w:basedOn w:val="Normal"/>
    <w:qFormat/>
    <w:pPr>
      <w:numPr>
        <w:ilvl w:val="3"/>
        <w:numId w:val="1"/>
      </w:numPr>
      <w:spacing w:before="200" w:after="0"/>
      <w:outlineLvl w:val="3"/>
    </w:pPr>
    <w:rPr>
      <w:b/>
      <w:bCs/>
      <w:i/>
      <w:iCs/>
    </w:rPr>
  </w:style>
  <w:style w:type="paragraph" w:styleId="Heading5">
    <w:name w:val="heading 5"/>
    <w:basedOn w:val="Normal"/>
    <w:qFormat/>
    <w:pPr>
      <w:numPr>
        <w:ilvl w:val="4"/>
        <w:numId w:val="1"/>
      </w:numPr>
      <w:spacing w:before="200" w:after="0"/>
      <w:outlineLvl w:val="4"/>
    </w:pPr>
    <w:rPr>
      <w:b/>
      <w:bCs/>
      <w:color w:val="757575"/>
    </w:rPr>
  </w:style>
  <w:style w:type="paragraph" w:styleId="Heading6">
    <w:name w:val="heading 6"/>
    <w:basedOn w:val="Normal"/>
    <w:qFormat/>
    <w:pPr>
      <w:numPr>
        <w:ilvl w:val="5"/>
        <w:numId w:val="1"/>
      </w:numPr>
      <w:spacing w:before="200" w:after="0"/>
      <w:outlineLvl w:val="5"/>
    </w:pPr>
    <w:rPr>
      <w:b/>
      <w:bCs/>
      <w:i/>
      <w:iCs/>
      <w:color w:val="757575"/>
    </w:rPr>
  </w:style>
  <w:style w:type="paragraph" w:styleId="Heading7">
    <w:name w:val="heading 7"/>
    <w:basedOn w:val="Normal"/>
    <w:qFormat/>
    <w:pPr>
      <w:numPr>
        <w:ilvl w:val="6"/>
        <w:numId w:val="1"/>
      </w:numPr>
      <w:spacing w:after="0"/>
      <w:outlineLvl w:val="6"/>
    </w:pPr>
    <w:rPr>
      <w:rFonts w:ascii="Cambria" w:hAnsi="Cambria"/>
      <w:i/>
      <w:iCs/>
    </w:rPr>
  </w:style>
  <w:style w:type="paragraph" w:styleId="Heading8">
    <w:name w:val="heading 8"/>
    <w:basedOn w:val="Normal"/>
    <w:qFormat/>
    <w:pPr>
      <w:numPr>
        <w:ilvl w:val="7"/>
        <w:numId w:val="1"/>
      </w:numPr>
      <w:spacing w:after="0"/>
      <w:outlineLvl w:val="7"/>
    </w:pPr>
    <w:rPr>
      <w:rFonts w:ascii="Cambria" w:hAnsi="Cambria"/>
      <w:sz w:val="20"/>
      <w:szCs w:val="20"/>
    </w:rPr>
  </w:style>
  <w:style w:type="paragraph" w:styleId="Heading9">
    <w:name w:val="heading 9"/>
    <w:basedOn w:val="Normal"/>
    <w:qFormat/>
    <w:pPr>
      <w:numPr>
        <w:ilvl w:val="8"/>
        <w:numId w:val="1"/>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character" w:customStyle="1" w:styleId="Heading1Char">
    <w:name w:val="Heading 1 Char"/>
    <w:rPr>
      <w:rFonts w:ascii="Calibri" w:hAnsi="Calibri" w:cs="font433"/>
      <w:b/>
      <w:bCs/>
      <w:color w:val="000000"/>
      <w:sz w:val="36"/>
      <w:szCs w:val="28"/>
    </w:rPr>
  </w:style>
  <w:style w:type="character" w:customStyle="1" w:styleId="Heading2Char">
    <w:name w:val="Heading 2 Char"/>
    <w:rPr>
      <w:rFonts w:ascii="Calibri" w:hAnsi="Calibri" w:cs="font433"/>
      <w:b/>
      <w:bCs/>
      <w:sz w:val="28"/>
      <w:szCs w:val="26"/>
    </w:rPr>
  </w:style>
  <w:style w:type="character" w:customStyle="1" w:styleId="Heading3Char">
    <w:name w:val="Heading 3 Char"/>
    <w:rPr>
      <w:rFonts w:ascii="Calibri" w:hAnsi="Calibri" w:cs="font433"/>
      <w:b/>
      <w:bCs/>
    </w:rPr>
  </w:style>
  <w:style w:type="character" w:customStyle="1" w:styleId="Heading4Char">
    <w:name w:val="Heading 4 Char"/>
    <w:rPr>
      <w:rFonts w:ascii="Calibri" w:hAnsi="Calibri" w:cs="font433"/>
      <w:b/>
      <w:bCs/>
      <w:i/>
      <w:iCs/>
    </w:rPr>
  </w:style>
  <w:style w:type="character" w:customStyle="1" w:styleId="Heading5Char">
    <w:name w:val="Heading 5 Char"/>
    <w:rPr>
      <w:rFonts w:ascii="Calibri" w:hAnsi="Calibri" w:cs="font433"/>
      <w:b/>
      <w:bCs/>
      <w:color w:val="757575"/>
    </w:rPr>
  </w:style>
  <w:style w:type="character" w:customStyle="1" w:styleId="Heading6Char">
    <w:name w:val="Heading 6 Char"/>
    <w:rPr>
      <w:rFonts w:ascii="Calibri" w:hAnsi="Calibri" w:cs="font433"/>
      <w:b/>
      <w:bCs/>
      <w:i/>
      <w:iCs/>
      <w:color w:val="757575"/>
    </w:rPr>
  </w:style>
  <w:style w:type="character" w:customStyle="1" w:styleId="Heading7Char">
    <w:name w:val="Heading 7 Char"/>
    <w:rPr>
      <w:rFonts w:ascii="Cambria" w:hAnsi="Cambria" w:cs="font433"/>
      <w:i/>
      <w:iCs/>
    </w:rPr>
  </w:style>
  <w:style w:type="character" w:customStyle="1" w:styleId="Heading8Char">
    <w:name w:val="Heading 8 Char"/>
    <w:rPr>
      <w:rFonts w:ascii="Cambria" w:hAnsi="Cambria" w:cs="font433"/>
      <w:sz w:val="20"/>
      <w:szCs w:val="20"/>
    </w:rPr>
  </w:style>
  <w:style w:type="character" w:customStyle="1" w:styleId="Heading9Char">
    <w:name w:val="Heading 9 Char"/>
    <w:rPr>
      <w:rFonts w:ascii="Cambria" w:hAnsi="Cambria" w:cs="font433"/>
      <w:i/>
      <w:iCs/>
      <w:spacing w:val="5"/>
      <w:sz w:val="20"/>
      <w:szCs w:val="20"/>
    </w:rPr>
  </w:style>
  <w:style w:type="character" w:customStyle="1" w:styleId="ListLabel1">
    <w:name w:val="ListLabel 1"/>
    <w:rPr>
      <w:b/>
    </w:rPr>
  </w:style>
  <w:style w:type="paragraph" w:customStyle="1" w:styleId="Heading">
    <w:name w:val="Heading"/>
    <w:basedOn w:val="Normal"/>
    <w:next w:val="BodyText"/>
    <w:pPr>
      <w:keepNext/>
      <w:spacing w:before="240" w:after="120"/>
    </w:pPr>
    <w:rPr>
      <w:rFonts w:ascii="Arial" w:hAnsi="Arial" w:cs="Lohit Devanagari"/>
      <w:sz w:val="28"/>
      <w:szCs w:val="28"/>
    </w:rPr>
  </w:style>
  <w:style w:type="paragraph" w:styleId="BodyText">
    <w:name w:val="Body Text"/>
    <w:basedOn w:val="Normal"/>
    <w:pPr>
      <w:spacing w:after="12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rPr>
      <w:rFonts w:cs="Lohit Devanagari"/>
    </w:rPr>
  </w:style>
  <w:style w:type="paragraph" w:customStyle="1" w:styleId="LetterBody">
    <w:name w:val="Letter Body"/>
    <w:basedOn w:val="Normal"/>
    <w:pPr>
      <w:spacing w:after="120" w:line="100" w:lineRule="atLeast"/>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929AC66-FA25-4678-8F6C-981C370476FF}"/>
</file>

<file path=customXml/itemProps2.xml><?xml version="1.0" encoding="utf-8"?>
<ds:datastoreItem xmlns:ds="http://schemas.openxmlformats.org/officeDocument/2006/customXml" ds:itemID="{8AD511A8-52CF-42AE-BDB7-9241EEB23DBC}"/>
</file>

<file path=customXml/itemProps3.xml><?xml version="1.0" encoding="utf-8"?>
<ds:datastoreItem xmlns:ds="http://schemas.openxmlformats.org/officeDocument/2006/customXml" ds:itemID="{58FD573F-9157-4165-BE98-D6564B720848}"/>
</file>

<file path=docProps/app.xml><?xml version="1.0" encoding="utf-8"?>
<Properties xmlns="http://schemas.openxmlformats.org/officeDocument/2006/extended-properties" xmlns:vt="http://schemas.openxmlformats.org/officeDocument/2006/docPropsVTypes">
  <Template>6582F1BD.dotm</Template>
  <TotalTime>0</TotalTime>
  <Pages>1</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2</cp:revision>
  <cp:lastPrinted>2016-09-15T03:21:00Z</cp:lastPrinted>
  <dcterms:created xsi:type="dcterms:W3CDTF">2016-10-05T23:53:00Z</dcterms:created>
  <dcterms:modified xsi:type="dcterms:W3CDTF">2016-10-05T23:53:00Z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Australian Government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0x0101005E79C7E9F21B2A4CBC8DA1E8C7C01ED9</vt:lpwstr>
  </property>
</Properties>
</file>