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6C4" w:rsidRDefault="000F7452" w:rsidP="000F7452">
      <w:pPr>
        <w:pStyle w:val="Heading1"/>
        <w:numPr>
          <w:ilvl w:val="0"/>
          <w:numId w:val="0"/>
        </w:numPr>
        <w:ind w:left="432"/>
        <w:jc w:val="center"/>
      </w:pPr>
      <w:bookmarkStart w:id="0" w:name="_Toc456449029"/>
      <w:r>
        <w:t>S</w:t>
      </w:r>
      <w:r w:rsidRPr="004B5E0E">
        <w:t>ubmission</w:t>
      </w:r>
      <w:bookmarkEnd w:id="0"/>
    </w:p>
    <w:p w:rsidR="000F7452" w:rsidRDefault="005F36C4" w:rsidP="000F7452">
      <w:pPr>
        <w:pStyle w:val="Heading1"/>
        <w:numPr>
          <w:ilvl w:val="0"/>
          <w:numId w:val="0"/>
        </w:numPr>
        <w:ind w:left="432"/>
        <w:jc w:val="center"/>
        <w:rPr>
          <w:rFonts w:cstheme="minorHAnsi"/>
          <w:sz w:val="28"/>
        </w:rPr>
      </w:pPr>
      <w:r>
        <w:t>Department of the Environment and Energy</w:t>
      </w:r>
    </w:p>
    <w:p w:rsidR="000F7452" w:rsidRPr="009C3019" w:rsidRDefault="000F7452" w:rsidP="000F7452">
      <w:pPr>
        <w:pStyle w:val="LetterBody"/>
        <w:jc w:val="center"/>
        <w:rPr>
          <w:b/>
          <w:sz w:val="36"/>
          <w:szCs w:val="36"/>
        </w:rPr>
      </w:pPr>
      <w:r w:rsidRPr="009C3019">
        <w:rPr>
          <w:b/>
          <w:sz w:val="36"/>
          <w:szCs w:val="36"/>
        </w:rPr>
        <w:t>2016 National Research Infrastructure Roadmap Capability </w:t>
      </w:r>
      <w:r>
        <w:rPr>
          <w:b/>
          <w:sz w:val="36"/>
          <w:szCs w:val="36"/>
        </w:rPr>
        <w:t>Issues Paper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5165"/>
      </w:tblGrid>
      <w:tr w:rsidR="000F7452" w:rsidRPr="00EC3D5A" w:rsidTr="000D3F14">
        <w:tc>
          <w:tcPr>
            <w:tcW w:w="4077" w:type="dxa"/>
          </w:tcPr>
          <w:p w:rsidR="000F7452" w:rsidRPr="00676CA8" w:rsidRDefault="000F7452" w:rsidP="000D3F14">
            <w:pPr>
              <w:rPr>
                <w:b/>
                <w:sz w:val="24"/>
                <w:szCs w:val="24"/>
              </w:rPr>
            </w:pPr>
            <w:r w:rsidRPr="00676CA8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5165" w:type="dxa"/>
          </w:tcPr>
          <w:p w:rsidR="000F7452" w:rsidRPr="00731A0F" w:rsidRDefault="005F36C4" w:rsidP="005F36C4">
            <w:pPr>
              <w:rPr>
                <w:b/>
                <w:sz w:val="24"/>
                <w:szCs w:val="24"/>
              </w:rPr>
            </w:pPr>
            <w:r w:rsidRPr="00731A0F">
              <w:rPr>
                <w:b/>
                <w:sz w:val="24"/>
                <w:szCs w:val="24"/>
              </w:rPr>
              <w:t>Malcolm Thompson</w:t>
            </w:r>
          </w:p>
        </w:tc>
      </w:tr>
      <w:tr w:rsidR="000F7452" w:rsidRPr="00EC3D5A" w:rsidTr="000D3F14">
        <w:tc>
          <w:tcPr>
            <w:tcW w:w="4077" w:type="dxa"/>
          </w:tcPr>
          <w:p w:rsidR="000F7452" w:rsidRPr="00676CA8" w:rsidRDefault="000F7452" w:rsidP="000D3F14">
            <w:pPr>
              <w:rPr>
                <w:b/>
                <w:sz w:val="24"/>
                <w:szCs w:val="24"/>
              </w:rPr>
            </w:pPr>
            <w:r w:rsidRPr="00676CA8">
              <w:rPr>
                <w:b/>
                <w:sz w:val="24"/>
                <w:szCs w:val="24"/>
              </w:rPr>
              <w:t>Title/role</w:t>
            </w:r>
          </w:p>
        </w:tc>
        <w:tc>
          <w:tcPr>
            <w:tcW w:w="5165" w:type="dxa"/>
          </w:tcPr>
          <w:p w:rsidR="000F7452" w:rsidRPr="00731A0F" w:rsidRDefault="005F36C4" w:rsidP="000D3F14">
            <w:pPr>
              <w:rPr>
                <w:b/>
                <w:sz w:val="24"/>
                <w:szCs w:val="24"/>
              </w:rPr>
            </w:pPr>
            <w:r w:rsidRPr="00731A0F">
              <w:rPr>
                <w:b/>
                <w:sz w:val="24"/>
                <w:szCs w:val="24"/>
              </w:rPr>
              <w:t>Deputy Secretary</w:t>
            </w:r>
          </w:p>
        </w:tc>
      </w:tr>
      <w:tr w:rsidR="000F7452" w:rsidRPr="00EC3D5A" w:rsidTr="000D3F14">
        <w:tc>
          <w:tcPr>
            <w:tcW w:w="4077" w:type="dxa"/>
          </w:tcPr>
          <w:p w:rsidR="000F7452" w:rsidRPr="00676CA8" w:rsidRDefault="000F7452" w:rsidP="000D3F14">
            <w:pPr>
              <w:rPr>
                <w:b/>
                <w:sz w:val="24"/>
                <w:szCs w:val="24"/>
              </w:rPr>
            </w:pPr>
            <w:r w:rsidRPr="00676CA8">
              <w:rPr>
                <w:b/>
                <w:sz w:val="24"/>
                <w:szCs w:val="24"/>
              </w:rPr>
              <w:t>Organisation</w:t>
            </w:r>
          </w:p>
        </w:tc>
        <w:tc>
          <w:tcPr>
            <w:tcW w:w="5165" w:type="dxa"/>
          </w:tcPr>
          <w:p w:rsidR="000F7452" w:rsidRPr="00731A0F" w:rsidRDefault="005F36C4" w:rsidP="000D3F14">
            <w:pPr>
              <w:rPr>
                <w:b/>
                <w:sz w:val="24"/>
                <w:szCs w:val="24"/>
              </w:rPr>
            </w:pPr>
            <w:r w:rsidRPr="00731A0F">
              <w:rPr>
                <w:b/>
                <w:sz w:val="24"/>
                <w:szCs w:val="24"/>
              </w:rPr>
              <w:t>Australian Government Department of the Environment and Energy</w:t>
            </w:r>
          </w:p>
        </w:tc>
      </w:tr>
    </w:tbl>
    <w:p w:rsidR="00B97054" w:rsidRPr="00B97054" w:rsidRDefault="00B97054" w:rsidP="00A1565E">
      <w:pPr>
        <w:tabs>
          <w:tab w:val="left" w:pos="2325"/>
        </w:tabs>
        <w:spacing w:after="160" w:line="259" w:lineRule="auto"/>
        <w:ind w:left="142"/>
      </w:pPr>
      <w:bookmarkStart w:id="1" w:name="_GoBack"/>
      <w:bookmarkEnd w:id="1"/>
    </w:p>
    <w:p w:rsidR="005764C7" w:rsidRPr="005764C7" w:rsidRDefault="00B80530" w:rsidP="00A1565E">
      <w:pPr>
        <w:spacing w:after="160" w:line="259" w:lineRule="auto"/>
        <w:ind w:left="142"/>
      </w:pPr>
      <w:r w:rsidRPr="00A1565E">
        <w:rPr>
          <w:rFonts w:cstheme="minorHAnsi"/>
        </w:rPr>
        <w:t xml:space="preserve">The Department of the Environment and Energy </w:t>
      </w:r>
      <w:r w:rsidR="00A1565E">
        <w:rPr>
          <w:rFonts w:cstheme="minorHAnsi"/>
        </w:rPr>
        <w:t xml:space="preserve">(the Department) </w:t>
      </w:r>
      <w:r w:rsidRPr="00A1565E">
        <w:rPr>
          <w:rFonts w:cstheme="minorHAnsi"/>
        </w:rPr>
        <w:t xml:space="preserve">relies on high quality research to make effective decisions in managing Australia’s environment and energy.  </w:t>
      </w:r>
      <w:r w:rsidR="005764C7" w:rsidRPr="00A1565E">
        <w:rPr>
          <w:rFonts w:cstheme="minorHAnsi"/>
        </w:rPr>
        <w:t>The 2016 National Research Infrastructure Roadmap will be critically important to</w:t>
      </w:r>
      <w:r w:rsidR="00A1565E">
        <w:rPr>
          <w:rFonts w:cstheme="minorHAnsi"/>
        </w:rPr>
        <w:t xml:space="preserve"> the D</w:t>
      </w:r>
      <w:r w:rsidR="005764C7" w:rsidRPr="00A1565E">
        <w:rPr>
          <w:rFonts w:cstheme="minorHAnsi"/>
        </w:rPr>
        <w:t>epartment’s ongoing access to quality research and the data and information which it provides.</w:t>
      </w:r>
      <w:r w:rsidR="00731A0F">
        <w:rPr>
          <w:rFonts w:cstheme="minorHAnsi"/>
        </w:rPr>
        <w:t xml:space="preserve"> Access to environmental research and data is important to the broader economy, including natural resource dependant industries and for innovative solutions to</w:t>
      </w:r>
      <w:r w:rsidR="001B517B">
        <w:rPr>
          <w:rFonts w:cstheme="minorHAnsi"/>
        </w:rPr>
        <w:t xml:space="preserve"> domestic and</w:t>
      </w:r>
      <w:r w:rsidR="00731A0F">
        <w:rPr>
          <w:rFonts w:cstheme="minorHAnsi"/>
        </w:rPr>
        <w:t xml:space="preserve"> global wellbeing</w:t>
      </w:r>
      <w:r w:rsidR="001B517B">
        <w:rPr>
          <w:rFonts w:cstheme="minorHAnsi"/>
        </w:rPr>
        <w:t>.</w:t>
      </w:r>
    </w:p>
    <w:p w:rsidR="00022042" w:rsidRPr="00022042" w:rsidRDefault="00A1565E" w:rsidP="00A1565E">
      <w:pPr>
        <w:autoSpaceDE w:val="0"/>
        <w:autoSpaceDN w:val="0"/>
        <w:adjustRightInd w:val="0"/>
        <w:spacing w:before="180" w:after="160" w:line="259" w:lineRule="auto"/>
        <w:ind w:left="142"/>
      </w:pPr>
      <w:r>
        <w:t>The D</w:t>
      </w:r>
      <w:r w:rsidR="005764C7">
        <w:t xml:space="preserve">epartment is </w:t>
      </w:r>
      <w:r w:rsidR="00BF3C4B">
        <w:t xml:space="preserve">particularly </w:t>
      </w:r>
      <w:r w:rsidR="005764C7">
        <w:t xml:space="preserve">looking </w:t>
      </w:r>
      <w:r w:rsidR="00B158E8">
        <w:t xml:space="preserve">for </w:t>
      </w:r>
      <w:r w:rsidR="00022042">
        <w:t xml:space="preserve">the </w:t>
      </w:r>
      <w:r w:rsidR="005764C7" w:rsidRPr="00A1565E">
        <w:rPr>
          <w:rFonts w:cstheme="minorHAnsi"/>
        </w:rPr>
        <w:t>2016 National Research Infrastructure Roadmap</w:t>
      </w:r>
      <w:r w:rsidR="00BF3C4B" w:rsidRPr="00A1565E">
        <w:rPr>
          <w:rFonts w:cstheme="minorHAnsi"/>
        </w:rPr>
        <w:t xml:space="preserve"> to provide strategic national research capacity in </w:t>
      </w:r>
      <w:r w:rsidR="00B97054" w:rsidRPr="00A1565E">
        <w:rPr>
          <w:rFonts w:cstheme="minorHAnsi"/>
        </w:rPr>
        <w:t>four</w:t>
      </w:r>
      <w:r w:rsidR="00BF3C4B" w:rsidRPr="00A1565E">
        <w:rPr>
          <w:rFonts w:cstheme="minorHAnsi"/>
        </w:rPr>
        <w:t xml:space="preserve"> areas</w:t>
      </w:r>
      <w:r>
        <w:rPr>
          <w:rFonts w:cstheme="minorHAnsi"/>
        </w:rPr>
        <w:t>:</w:t>
      </w:r>
    </w:p>
    <w:p w:rsidR="005712EC" w:rsidRPr="005712EC" w:rsidRDefault="00022042" w:rsidP="0002204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80" w:after="160" w:line="259" w:lineRule="auto"/>
        <w:contextualSpacing w:val="0"/>
      </w:pPr>
      <w:r>
        <w:t xml:space="preserve">Firstly, </w:t>
      </w:r>
      <w:r w:rsidR="005764C7" w:rsidRPr="00022042">
        <w:rPr>
          <w:rFonts w:cstheme="minorHAnsi"/>
        </w:rPr>
        <w:t>new opportunities for effective governance</w:t>
      </w:r>
      <w:r w:rsidRPr="00022042">
        <w:rPr>
          <w:rFonts w:cstheme="minorHAnsi"/>
        </w:rPr>
        <w:t xml:space="preserve"> </w:t>
      </w:r>
      <w:r w:rsidR="005764C7" w:rsidRPr="00022042">
        <w:rPr>
          <w:rFonts w:cstheme="minorHAnsi"/>
        </w:rPr>
        <w:t>in relation to terrestrial biodiversity research, where a clear focus on</w:t>
      </w:r>
      <w:r w:rsidR="00083E4A" w:rsidRPr="00022042">
        <w:rPr>
          <w:rFonts w:cstheme="minorHAnsi"/>
        </w:rPr>
        <w:t xml:space="preserve"> the national agenda is needed. </w:t>
      </w:r>
      <w:r w:rsidRPr="00022042">
        <w:rPr>
          <w:rFonts w:cstheme="minorHAnsi"/>
        </w:rPr>
        <w:t xml:space="preserve"> </w:t>
      </w:r>
      <w:r>
        <w:rPr>
          <w:rFonts w:cstheme="minorHAnsi"/>
        </w:rPr>
        <w:t>W</w:t>
      </w:r>
      <w:r w:rsidR="00D31160" w:rsidRPr="00022042">
        <w:rPr>
          <w:rFonts w:cstheme="minorHAnsi"/>
        </w:rPr>
        <w:t xml:space="preserve">e recognise that the </w:t>
      </w:r>
      <w:r w:rsidR="00083E4A" w:rsidRPr="00022042">
        <w:rPr>
          <w:rFonts w:cstheme="minorHAnsi"/>
        </w:rPr>
        <w:t>Terrestrial Ecosystem Research Network</w:t>
      </w:r>
      <w:r w:rsidR="00D31160" w:rsidRPr="00022042">
        <w:rPr>
          <w:rFonts w:cstheme="minorHAnsi"/>
        </w:rPr>
        <w:t xml:space="preserve"> (TERN)</w:t>
      </w:r>
      <w:r w:rsidR="00083E4A" w:rsidRPr="00022042">
        <w:rPr>
          <w:rFonts w:cstheme="minorHAnsi"/>
        </w:rPr>
        <w:t xml:space="preserve">, the Atlas of Living Australia </w:t>
      </w:r>
      <w:r w:rsidR="00D31160" w:rsidRPr="00022042">
        <w:rPr>
          <w:rFonts w:cstheme="minorHAnsi"/>
        </w:rPr>
        <w:t xml:space="preserve">(ALA) </w:t>
      </w:r>
      <w:r w:rsidR="00083E4A" w:rsidRPr="00022042">
        <w:rPr>
          <w:rFonts w:cstheme="minorHAnsi"/>
        </w:rPr>
        <w:t>and other key terrestrial N</w:t>
      </w:r>
      <w:r w:rsidR="00A1565E">
        <w:rPr>
          <w:rFonts w:cstheme="minorHAnsi"/>
        </w:rPr>
        <w:t>ational Collaborative Research Infrastructure System (N</w:t>
      </w:r>
      <w:r w:rsidR="00083E4A" w:rsidRPr="00022042">
        <w:rPr>
          <w:rFonts w:cstheme="minorHAnsi"/>
        </w:rPr>
        <w:t>CRIS</w:t>
      </w:r>
      <w:r w:rsidR="00A1565E">
        <w:rPr>
          <w:rFonts w:cstheme="minorHAnsi"/>
        </w:rPr>
        <w:t>)</w:t>
      </w:r>
      <w:r w:rsidR="00731A0F">
        <w:rPr>
          <w:rFonts w:cstheme="minorHAnsi"/>
        </w:rPr>
        <w:t xml:space="preserve"> investments have</w:t>
      </w:r>
      <w:r w:rsidR="00083E4A" w:rsidRPr="00022042">
        <w:rPr>
          <w:rFonts w:cstheme="minorHAnsi"/>
        </w:rPr>
        <w:t xml:space="preserve"> contributed to high </w:t>
      </w:r>
      <w:r w:rsidR="00D31160" w:rsidRPr="00022042">
        <w:rPr>
          <w:rFonts w:cstheme="minorHAnsi"/>
        </w:rPr>
        <w:t xml:space="preserve">priority collaborative research. </w:t>
      </w:r>
      <w:r w:rsidR="00731A0F">
        <w:rPr>
          <w:rFonts w:cstheme="minorHAnsi"/>
        </w:rPr>
        <w:t>T</w:t>
      </w:r>
      <w:r>
        <w:rPr>
          <w:rFonts w:cstheme="minorHAnsi"/>
        </w:rPr>
        <w:t>his r</w:t>
      </w:r>
      <w:r w:rsidR="00B158E8" w:rsidRPr="00022042">
        <w:rPr>
          <w:rFonts w:cstheme="minorHAnsi"/>
        </w:rPr>
        <w:t xml:space="preserve">emains a key priority need for the department and it is vital that the investment be managed in the national interest. </w:t>
      </w:r>
      <w:r>
        <w:rPr>
          <w:rFonts w:cstheme="minorHAnsi"/>
        </w:rPr>
        <w:t xml:space="preserve">The </w:t>
      </w:r>
      <w:r w:rsidR="00B158E8" w:rsidRPr="00022042">
        <w:rPr>
          <w:rFonts w:cstheme="minorHAnsi"/>
        </w:rPr>
        <w:t>governance of terrestrial biodiversity research infrastructure is currently fragmented and insufficient to meet future demands.</w:t>
      </w:r>
      <w:r>
        <w:rPr>
          <w:rFonts w:cstheme="minorHAnsi"/>
        </w:rPr>
        <w:t xml:space="preserve"> Improvements need to be implemented which will integrate the funding, access and collaboratio</w:t>
      </w:r>
      <w:r w:rsidR="00731A0F">
        <w:rPr>
          <w:rFonts w:cstheme="minorHAnsi"/>
        </w:rPr>
        <w:t>n between</w:t>
      </w:r>
      <w:r>
        <w:rPr>
          <w:rFonts w:cstheme="minorHAnsi"/>
        </w:rPr>
        <w:t xml:space="preserve"> components of the infrastructure. </w:t>
      </w:r>
      <w:r w:rsidR="005712EC">
        <w:rPr>
          <w:rFonts w:cstheme="minorHAnsi"/>
        </w:rPr>
        <w:t xml:space="preserve">A new model of governance, involving the relevant players for all components of terrestrial biodiversity research, </w:t>
      </w:r>
      <w:r w:rsidR="00731A0F">
        <w:rPr>
          <w:rFonts w:cstheme="minorHAnsi"/>
        </w:rPr>
        <w:t>is needed</w:t>
      </w:r>
      <w:r w:rsidR="005712EC">
        <w:rPr>
          <w:rFonts w:cstheme="minorHAnsi"/>
        </w:rPr>
        <w:t xml:space="preserve"> to provide inves</w:t>
      </w:r>
      <w:r w:rsidR="00731A0F">
        <w:rPr>
          <w:rFonts w:cstheme="minorHAnsi"/>
        </w:rPr>
        <w:t xml:space="preserve">tment which is integrated, </w:t>
      </w:r>
      <w:r w:rsidR="005712EC">
        <w:rPr>
          <w:rFonts w:cstheme="minorHAnsi"/>
        </w:rPr>
        <w:t>collaborative and focussed on the national interest, rather than the interests of individual components.</w:t>
      </w:r>
    </w:p>
    <w:p w:rsidR="000213BE" w:rsidRPr="00264F2C" w:rsidRDefault="00BF3C4B" w:rsidP="00264F2C">
      <w:pPr>
        <w:pStyle w:val="ListParagraph"/>
        <w:numPr>
          <w:ilvl w:val="0"/>
          <w:numId w:val="16"/>
        </w:numPr>
        <w:spacing w:after="160" w:line="259" w:lineRule="auto"/>
        <w:contextualSpacing w:val="0"/>
        <w:rPr>
          <w:rFonts w:cstheme="minorHAnsi"/>
        </w:rPr>
      </w:pPr>
      <w:r>
        <w:t xml:space="preserve">Secondly, </w:t>
      </w:r>
      <w:r w:rsidR="000213BE" w:rsidRPr="00E0327A">
        <w:rPr>
          <w:rFonts w:cstheme="minorHAnsi"/>
        </w:rPr>
        <w:t>a</w:t>
      </w:r>
      <w:r w:rsidR="000213BE">
        <w:rPr>
          <w:rFonts w:cstheme="minorHAnsi"/>
        </w:rPr>
        <w:t>n adequately funded,</w:t>
      </w:r>
      <w:r w:rsidR="000213BE" w:rsidRPr="00E0327A">
        <w:rPr>
          <w:rFonts w:cstheme="minorHAnsi"/>
        </w:rPr>
        <w:t xml:space="preserve"> connected and strategic platform is required which can provide a stable and enduring </w:t>
      </w:r>
      <w:r w:rsidR="000213BE">
        <w:rPr>
          <w:rFonts w:cstheme="minorHAnsi"/>
        </w:rPr>
        <w:t xml:space="preserve">national research infrastructure </w:t>
      </w:r>
      <w:r w:rsidR="000213BE" w:rsidRPr="00E0327A">
        <w:rPr>
          <w:rFonts w:cstheme="minorHAnsi"/>
        </w:rPr>
        <w:t>‘environment’ to support future climate science.</w:t>
      </w:r>
      <w:r w:rsidR="00264F2C">
        <w:rPr>
          <w:rFonts w:cstheme="minorHAnsi"/>
        </w:rPr>
        <w:t xml:space="preserve">  T</w:t>
      </w:r>
      <w:r w:rsidR="000213BE" w:rsidRPr="00E0327A">
        <w:rPr>
          <w:rFonts w:cstheme="minorHAnsi"/>
        </w:rPr>
        <w:t xml:space="preserve">he Australia Climate Science community currently operates </w:t>
      </w:r>
      <w:r w:rsidR="00A1565E">
        <w:rPr>
          <w:rFonts w:cstheme="minorHAnsi"/>
        </w:rPr>
        <w:t xml:space="preserve">the </w:t>
      </w:r>
      <w:r w:rsidR="000213BE" w:rsidRPr="00BE2902">
        <w:rPr>
          <w:rFonts w:cstheme="minorHAnsi"/>
        </w:rPr>
        <w:t>Australian Community Climate and Earth-System Simulator (</w:t>
      </w:r>
      <w:r w:rsidR="00125D85">
        <w:rPr>
          <w:rFonts w:cstheme="minorHAnsi"/>
        </w:rPr>
        <w:t>ACCESS)</w:t>
      </w:r>
      <w:r w:rsidR="000213BE" w:rsidRPr="00E0327A">
        <w:rPr>
          <w:rFonts w:cstheme="minorHAnsi"/>
        </w:rPr>
        <w:t>,</w:t>
      </w:r>
      <w:r w:rsidR="00A1565E">
        <w:rPr>
          <w:rFonts w:cstheme="minorHAnsi"/>
        </w:rPr>
        <w:t xml:space="preserve"> which is a dispersed network of investment, </w:t>
      </w:r>
      <w:r w:rsidR="000213BE" w:rsidRPr="00E0327A">
        <w:rPr>
          <w:rFonts w:cstheme="minorHAnsi"/>
        </w:rPr>
        <w:t>involving many partners and disconnected funding sources</w:t>
      </w:r>
      <w:r w:rsidR="000213BE">
        <w:rPr>
          <w:rFonts w:cstheme="minorHAnsi"/>
        </w:rPr>
        <w:t>.  This capa</w:t>
      </w:r>
      <w:r w:rsidR="00264F2C">
        <w:rPr>
          <w:rFonts w:cstheme="minorHAnsi"/>
        </w:rPr>
        <w:t xml:space="preserve">bility </w:t>
      </w:r>
      <w:r w:rsidR="000213BE">
        <w:rPr>
          <w:rFonts w:cstheme="minorHAnsi"/>
        </w:rPr>
        <w:t>is needed to</w:t>
      </w:r>
      <w:r w:rsidR="000213BE" w:rsidRPr="00E0327A">
        <w:rPr>
          <w:rFonts w:cstheme="minorHAnsi"/>
        </w:rPr>
        <w:t xml:space="preserve"> meet Australia’s future needs</w:t>
      </w:r>
      <w:r w:rsidR="000213BE">
        <w:rPr>
          <w:rFonts w:cstheme="minorHAnsi"/>
        </w:rPr>
        <w:t xml:space="preserve"> and to provide a uniquely southern hemisphere perspective, which will meet the needs of the global community. </w:t>
      </w:r>
      <w:r w:rsidR="000213BE" w:rsidRPr="00E0327A">
        <w:rPr>
          <w:rFonts w:cstheme="minorHAnsi"/>
        </w:rPr>
        <w:t xml:space="preserve"> </w:t>
      </w:r>
      <w:r w:rsidR="000213BE">
        <w:rPr>
          <w:rFonts w:cstheme="minorHAnsi"/>
        </w:rPr>
        <w:t>This should include the next ge</w:t>
      </w:r>
      <w:r w:rsidR="008352B2">
        <w:rPr>
          <w:rFonts w:cstheme="minorHAnsi"/>
        </w:rPr>
        <w:t>neration of investment in N</w:t>
      </w:r>
      <w:r w:rsidR="005941C3">
        <w:rPr>
          <w:rFonts w:cstheme="minorHAnsi"/>
        </w:rPr>
        <w:t>ational</w:t>
      </w:r>
      <w:r w:rsidR="00125D85">
        <w:rPr>
          <w:rFonts w:cstheme="minorHAnsi"/>
        </w:rPr>
        <w:t xml:space="preserve"> Computational Infrastructure</w:t>
      </w:r>
      <w:r w:rsidR="008352B2">
        <w:rPr>
          <w:rFonts w:cstheme="minorHAnsi"/>
        </w:rPr>
        <w:t xml:space="preserve">, </w:t>
      </w:r>
      <w:r w:rsidR="000213BE">
        <w:rPr>
          <w:rFonts w:cstheme="minorHAnsi"/>
        </w:rPr>
        <w:t xml:space="preserve">ACCESS and </w:t>
      </w:r>
      <w:r w:rsidR="005941C3">
        <w:rPr>
          <w:rFonts w:cstheme="minorHAnsi"/>
        </w:rPr>
        <w:t xml:space="preserve">all the necessary supporting </w:t>
      </w:r>
      <w:r w:rsidR="000213BE">
        <w:rPr>
          <w:rFonts w:cstheme="minorHAnsi"/>
        </w:rPr>
        <w:t xml:space="preserve">software and </w:t>
      </w:r>
      <w:r w:rsidR="00A33441">
        <w:rPr>
          <w:rFonts w:cstheme="minorHAnsi"/>
        </w:rPr>
        <w:t xml:space="preserve">data management systems </w:t>
      </w:r>
      <w:r w:rsidR="005941C3">
        <w:rPr>
          <w:rFonts w:cstheme="minorHAnsi"/>
        </w:rPr>
        <w:t xml:space="preserve">as </w:t>
      </w:r>
      <w:r w:rsidR="000213BE">
        <w:rPr>
          <w:rFonts w:cstheme="minorHAnsi"/>
        </w:rPr>
        <w:t xml:space="preserve">vital components of this research infrastructure.  </w:t>
      </w:r>
      <w:r w:rsidR="005941C3">
        <w:rPr>
          <w:rFonts w:cstheme="minorHAnsi"/>
        </w:rPr>
        <w:t>This is a key missing piece of r</w:t>
      </w:r>
      <w:r w:rsidR="000213BE">
        <w:rPr>
          <w:rFonts w:cstheme="minorHAnsi"/>
        </w:rPr>
        <w:t xml:space="preserve">esearch </w:t>
      </w:r>
      <w:r w:rsidR="005941C3">
        <w:rPr>
          <w:rFonts w:cstheme="minorHAnsi"/>
        </w:rPr>
        <w:t>i</w:t>
      </w:r>
      <w:r w:rsidR="000213BE">
        <w:rPr>
          <w:rFonts w:cstheme="minorHAnsi"/>
        </w:rPr>
        <w:t xml:space="preserve">nfrastructure investment which should be included in the 2016 </w:t>
      </w:r>
      <w:r w:rsidR="005941C3">
        <w:rPr>
          <w:rFonts w:cstheme="minorHAnsi"/>
        </w:rPr>
        <w:t xml:space="preserve">national </w:t>
      </w:r>
      <w:r w:rsidR="000213BE">
        <w:rPr>
          <w:rFonts w:cstheme="minorHAnsi"/>
        </w:rPr>
        <w:t xml:space="preserve">roadmap. </w:t>
      </w:r>
    </w:p>
    <w:p w:rsidR="007338A5" w:rsidRPr="007338A5" w:rsidRDefault="00264F2C" w:rsidP="00DC4C5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80" w:after="160" w:line="259" w:lineRule="auto"/>
        <w:contextualSpacing w:val="0"/>
        <w:rPr>
          <w:rFonts w:cstheme="minorHAnsi"/>
        </w:rPr>
      </w:pPr>
      <w:r>
        <w:lastRenderedPageBreak/>
        <w:t>Thirdly,</w:t>
      </w:r>
      <w:r w:rsidR="007338A5">
        <w:t xml:space="preserve"> support for basic research infrastructure to support rem</w:t>
      </w:r>
      <w:r w:rsidR="009E1AF2">
        <w:t xml:space="preserve">ote research across Australia’s </w:t>
      </w:r>
      <w:r w:rsidR="007338A5">
        <w:t>jurisdiction from the tropics to Antarctica, wh</w:t>
      </w:r>
      <w:r w:rsidR="009E1AF2">
        <w:t>ich is coordinated to meet the n</w:t>
      </w:r>
      <w:r w:rsidR="007338A5">
        <w:t>ation</w:t>
      </w:r>
      <w:r w:rsidR="009E1AF2">
        <w:t>al</w:t>
      </w:r>
      <w:r w:rsidR="007338A5">
        <w:t xml:space="preserve"> research priorities. </w:t>
      </w:r>
    </w:p>
    <w:p w:rsidR="007338A5" w:rsidRDefault="007338A5" w:rsidP="007338A5">
      <w:pPr>
        <w:pStyle w:val="ListParagraph"/>
        <w:numPr>
          <w:ilvl w:val="1"/>
          <w:numId w:val="16"/>
        </w:numPr>
        <w:autoSpaceDE w:val="0"/>
        <w:autoSpaceDN w:val="0"/>
        <w:adjustRightInd w:val="0"/>
        <w:spacing w:before="180" w:after="160" w:line="259" w:lineRule="auto"/>
        <w:contextualSpacing w:val="0"/>
        <w:rPr>
          <w:rFonts w:cstheme="minorHAnsi"/>
        </w:rPr>
      </w:pPr>
      <w:r>
        <w:t xml:space="preserve">One area for improvement in this regard could be </w:t>
      </w:r>
      <w:r w:rsidR="00BF3C4B">
        <w:t xml:space="preserve">new opportunities for </w:t>
      </w:r>
      <w:r w:rsidR="00D2600B" w:rsidRPr="007338A5">
        <w:rPr>
          <w:rFonts w:cstheme="minorHAnsi"/>
        </w:rPr>
        <w:t>merging</w:t>
      </w:r>
      <w:r w:rsidR="009259C9" w:rsidRPr="007338A5">
        <w:rPr>
          <w:rFonts w:cstheme="minorHAnsi"/>
        </w:rPr>
        <w:t xml:space="preserve"> the processes </w:t>
      </w:r>
      <w:r w:rsidR="00D2600B" w:rsidRPr="007338A5">
        <w:rPr>
          <w:rFonts w:cstheme="minorHAnsi"/>
        </w:rPr>
        <w:t xml:space="preserve">for </w:t>
      </w:r>
      <w:r w:rsidR="009259C9" w:rsidRPr="007338A5">
        <w:rPr>
          <w:rFonts w:cstheme="minorHAnsi"/>
        </w:rPr>
        <w:t xml:space="preserve">accessing </w:t>
      </w:r>
      <w:r w:rsidR="00D2600B" w:rsidRPr="007338A5">
        <w:rPr>
          <w:rFonts w:cstheme="minorHAnsi"/>
        </w:rPr>
        <w:t xml:space="preserve">research ship time in the </w:t>
      </w:r>
      <w:r w:rsidR="009259C9" w:rsidRPr="007338A5">
        <w:rPr>
          <w:rFonts w:cstheme="minorHAnsi"/>
        </w:rPr>
        <w:t xml:space="preserve">Southern Ocean </w:t>
      </w:r>
      <w:r w:rsidR="00D2600B" w:rsidRPr="007338A5">
        <w:rPr>
          <w:rFonts w:cstheme="minorHAnsi"/>
        </w:rPr>
        <w:t xml:space="preserve">using the </w:t>
      </w:r>
      <w:r w:rsidR="009259C9" w:rsidRPr="00EF2697">
        <w:rPr>
          <w:rFonts w:cstheme="minorHAnsi"/>
        </w:rPr>
        <w:t>R</w:t>
      </w:r>
      <w:r w:rsidR="00EF2697" w:rsidRPr="00EF2697">
        <w:rPr>
          <w:rFonts w:cstheme="minorHAnsi"/>
        </w:rPr>
        <w:t xml:space="preserve">esearch Vessel </w:t>
      </w:r>
      <w:r w:rsidR="009259C9" w:rsidRPr="00EF2697">
        <w:rPr>
          <w:rFonts w:cstheme="minorHAnsi"/>
          <w:i/>
        </w:rPr>
        <w:t xml:space="preserve">Investigator </w:t>
      </w:r>
      <w:r w:rsidR="009259C9" w:rsidRPr="007338A5">
        <w:rPr>
          <w:rFonts w:cstheme="minorHAnsi"/>
        </w:rPr>
        <w:t xml:space="preserve">and </w:t>
      </w:r>
      <w:r w:rsidR="00EF2697" w:rsidRPr="00EF2697">
        <w:rPr>
          <w:rFonts w:cstheme="minorHAnsi"/>
        </w:rPr>
        <w:t xml:space="preserve">Research Vessel </w:t>
      </w:r>
      <w:r w:rsidR="009259C9" w:rsidRPr="00EF2697">
        <w:rPr>
          <w:rFonts w:cstheme="minorHAnsi"/>
          <w:i/>
        </w:rPr>
        <w:t>Aurora Australis</w:t>
      </w:r>
      <w:r w:rsidR="009259C9" w:rsidRPr="007338A5">
        <w:rPr>
          <w:rFonts w:cstheme="minorHAnsi"/>
        </w:rPr>
        <w:t xml:space="preserve"> (and post 2020</w:t>
      </w:r>
      <w:r w:rsidR="005941C3" w:rsidRPr="007338A5">
        <w:rPr>
          <w:rFonts w:cstheme="minorHAnsi"/>
        </w:rPr>
        <w:t>,</w:t>
      </w:r>
      <w:r w:rsidR="009259C9" w:rsidRPr="007338A5">
        <w:rPr>
          <w:rFonts w:cstheme="minorHAnsi"/>
        </w:rPr>
        <w:t xml:space="preserve"> on the new </w:t>
      </w:r>
      <w:r w:rsidR="00D2600B" w:rsidRPr="007338A5">
        <w:rPr>
          <w:rFonts w:cstheme="minorHAnsi"/>
        </w:rPr>
        <w:t xml:space="preserve">Australian </w:t>
      </w:r>
      <w:r w:rsidR="009259C9" w:rsidRPr="007338A5">
        <w:rPr>
          <w:rFonts w:cstheme="minorHAnsi"/>
        </w:rPr>
        <w:t xml:space="preserve">icebreaker) to align with national priorities. Applicants currently apply </w:t>
      </w:r>
      <w:r w:rsidR="005941C3" w:rsidRPr="007338A5">
        <w:rPr>
          <w:rFonts w:cstheme="minorHAnsi"/>
        </w:rPr>
        <w:t xml:space="preserve">for ship time </w:t>
      </w:r>
      <w:r w:rsidR="009259C9" w:rsidRPr="007338A5">
        <w:rPr>
          <w:rFonts w:cstheme="minorHAnsi"/>
        </w:rPr>
        <w:t>through almost entirely separate systems leading to inefficiency, duplication and inequity in process. This is part of a broader need to also link to other granting processes, particularly between the Australian Antarctic Science program and the Australian Research Council.</w:t>
      </w:r>
      <w:r>
        <w:rPr>
          <w:rFonts w:cstheme="minorHAnsi"/>
        </w:rPr>
        <w:t xml:space="preserve"> </w:t>
      </w:r>
    </w:p>
    <w:p w:rsidR="009259C9" w:rsidRDefault="00264F2C" w:rsidP="007338A5">
      <w:pPr>
        <w:pStyle w:val="ListParagraph"/>
        <w:numPr>
          <w:ilvl w:val="1"/>
          <w:numId w:val="16"/>
        </w:numPr>
        <w:autoSpaceDE w:val="0"/>
        <w:autoSpaceDN w:val="0"/>
        <w:adjustRightInd w:val="0"/>
        <w:spacing w:before="180" w:after="160" w:line="259" w:lineRule="auto"/>
        <w:contextualSpacing w:val="0"/>
        <w:rPr>
          <w:rFonts w:cstheme="minorHAnsi"/>
        </w:rPr>
      </w:pPr>
      <w:r w:rsidRPr="007338A5">
        <w:rPr>
          <w:rFonts w:cstheme="minorHAnsi"/>
        </w:rPr>
        <w:t>Existing capacity in vessels that are capable of doing a range of research offshore is currently limiting key work needed to inform the management of Commonwealth marine reserves.  The ability to leverage co-investment and collaboration with the private sector, international bodies and philanthropic organisations is also important if Australia is to better understand its marine estate.</w:t>
      </w:r>
    </w:p>
    <w:p w:rsidR="007338A5" w:rsidRPr="007338A5" w:rsidRDefault="009E1AF2" w:rsidP="007338A5">
      <w:pPr>
        <w:pStyle w:val="ListParagraph"/>
        <w:numPr>
          <w:ilvl w:val="1"/>
          <w:numId w:val="16"/>
        </w:numPr>
        <w:autoSpaceDE w:val="0"/>
        <w:autoSpaceDN w:val="0"/>
        <w:adjustRightInd w:val="0"/>
        <w:spacing w:before="180" w:after="160" w:line="259" w:lineRule="auto"/>
        <w:contextualSpacing w:val="0"/>
        <w:rPr>
          <w:rFonts w:cstheme="minorHAnsi"/>
        </w:rPr>
      </w:pPr>
      <w:r>
        <w:rPr>
          <w:rFonts w:cstheme="minorHAnsi"/>
        </w:rPr>
        <w:t>A major new research facility should also be considered to support southern ocean and polar research in Australia, through the development of a Southern Ocean or Polar Sea Simulator, akin to the national facility managed by the Australia Institute of Marine Science for tropical marine research (Sea Simulator).</w:t>
      </w:r>
    </w:p>
    <w:p w:rsidR="00DC4C5B" w:rsidRPr="00BB12C6" w:rsidRDefault="000213BE" w:rsidP="00DC4C5B">
      <w:pPr>
        <w:pStyle w:val="ListParagraph"/>
        <w:numPr>
          <w:ilvl w:val="0"/>
          <w:numId w:val="16"/>
        </w:numPr>
        <w:spacing w:after="160" w:line="259" w:lineRule="auto"/>
        <w:contextualSpacing w:val="0"/>
        <w:rPr>
          <w:rFonts w:cstheme="minorHAnsi"/>
        </w:rPr>
      </w:pPr>
      <w:r>
        <w:rPr>
          <w:rFonts w:cstheme="minorHAnsi"/>
        </w:rPr>
        <w:t xml:space="preserve">Fourthly, </w:t>
      </w:r>
      <w:r w:rsidR="00DC4C5B">
        <w:rPr>
          <w:rFonts w:cstheme="minorHAnsi"/>
        </w:rPr>
        <w:t xml:space="preserve">a </w:t>
      </w:r>
      <w:r w:rsidR="00DC4C5B" w:rsidRPr="007B4F61">
        <w:rPr>
          <w:rFonts w:cstheme="minorHAnsi"/>
        </w:rPr>
        <w:t>new national environmental monitoring network for chemicals in the environment should be considered. This would support the objective</w:t>
      </w:r>
      <w:r w:rsidR="00DC4C5B" w:rsidRPr="00EA1646">
        <w:rPr>
          <w:rFonts w:cstheme="minorHAnsi"/>
        </w:rPr>
        <w:t xml:space="preserve">: </w:t>
      </w:r>
      <w:r w:rsidR="002E0E8B" w:rsidRPr="002E0E8B">
        <w:rPr>
          <w:rFonts w:cstheme="minorHAnsi"/>
          <w:i/>
        </w:rPr>
        <w:t>“To ensure that development is optimised in a sustainable and effective manner, a robust, evidence based national system to understand and manage water, carbon, soil and air resources is needed”.</w:t>
      </w:r>
      <w:r w:rsidR="00DC4C5B" w:rsidRPr="00EA1646">
        <w:rPr>
          <w:rFonts w:cstheme="minorHAnsi"/>
        </w:rPr>
        <w:t xml:space="preserve">  The results of this enabling infrastructure could be integrated with other environmental quality data (such as climate data, </w:t>
      </w:r>
      <w:r w:rsidR="00DC4C5B">
        <w:rPr>
          <w:rFonts w:cstheme="minorHAnsi"/>
        </w:rPr>
        <w:t xml:space="preserve">groundwater infrastructure, </w:t>
      </w:r>
      <w:r w:rsidR="00DC4C5B" w:rsidRPr="00EA1646">
        <w:rPr>
          <w:rFonts w:cstheme="minorHAnsi"/>
        </w:rPr>
        <w:t xml:space="preserve">the integrated marine observing </w:t>
      </w:r>
      <w:r w:rsidR="00DC4C5B" w:rsidRPr="007B4F61">
        <w:rPr>
          <w:rFonts w:cstheme="minorHAnsi"/>
        </w:rPr>
        <w:t xml:space="preserve">system, </w:t>
      </w:r>
      <w:r w:rsidR="00DC4C5B" w:rsidRPr="00F41557">
        <w:rPr>
          <w:rFonts w:cstheme="minorHAnsi"/>
        </w:rPr>
        <w:t xml:space="preserve">ecosystem monitoring infrastructure and  </w:t>
      </w:r>
      <w:r w:rsidR="00DC4C5B" w:rsidRPr="007B4F61">
        <w:rPr>
          <w:rFonts w:cstheme="minorHAnsi"/>
        </w:rPr>
        <w:t>various air sampling measurement programmes) using the concepts of digitisation and data discoverability discussed in Chapter 11 of the Issues Paper</w:t>
      </w:r>
      <w:r w:rsidR="00DC4C5B">
        <w:rPr>
          <w:rFonts w:cstheme="minorHAnsi"/>
        </w:rPr>
        <w:t>.</w:t>
      </w:r>
    </w:p>
    <w:sectPr w:rsidR="00DC4C5B" w:rsidRPr="00BB12C6" w:rsidSect="00141078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441" w:rsidRDefault="00A33441" w:rsidP="00F41557">
      <w:pPr>
        <w:spacing w:after="0" w:line="240" w:lineRule="auto"/>
      </w:pPr>
      <w:r>
        <w:separator/>
      </w:r>
    </w:p>
  </w:endnote>
  <w:endnote w:type="continuationSeparator" w:id="0">
    <w:p w:rsidR="00A33441" w:rsidRDefault="00A33441" w:rsidP="00F41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76476"/>
      <w:docPartObj>
        <w:docPartGallery w:val="Page Numbers (Bottom of Page)"/>
        <w:docPartUnique/>
      </w:docPartObj>
    </w:sdtPr>
    <w:sdtEndPr/>
    <w:sdtContent>
      <w:p w:rsidR="00A33441" w:rsidRDefault="007742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8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3441" w:rsidRDefault="00A334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441" w:rsidRDefault="00A33441" w:rsidP="00F41557">
      <w:pPr>
        <w:spacing w:after="0" w:line="240" w:lineRule="auto"/>
      </w:pPr>
      <w:r>
        <w:separator/>
      </w:r>
    </w:p>
  </w:footnote>
  <w:footnote w:type="continuationSeparator" w:id="0">
    <w:p w:rsidR="00A33441" w:rsidRDefault="00A33441" w:rsidP="00F415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50806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1350F8"/>
    <w:multiLevelType w:val="hybridMultilevel"/>
    <w:tmpl w:val="EB244398"/>
    <w:lvl w:ilvl="0" w:tplc="FFFFFFFF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2599F"/>
    <w:multiLevelType w:val="hybridMultilevel"/>
    <w:tmpl w:val="153AD6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37040"/>
    <w:multiLevelType w:val="multilevel"/>
    <w:tmpl w:val="7CA4024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068F398A"/>
    <w:multiLevelType w:val="hybridMultilevel"/>
    <w:tmpl w:val="4782DE2C"/>
    <w:lvl w:ilvl="0" w:tplc="0C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F5B2BD6"/>
    <w:multiLevelType w:val="hybridMultilevel"/>
    <w:tmpl w:val="C4F6BC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8F79FC"/>
    <w:multiLevelType w:val="hybridMultilevel"/>
    <w:tmpl w:val="1BE8E4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1758A6"/>
    <w:multiLevelType w:val="multilevel"/>
    <w:tmpl w:val="3F562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2327F0"/>
    <w:multiLevelType w:val="hybridMultilevel"/>
    <w:tmpl w:val="AECC47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142D22"/>
    <w:multiLevelType w:val="hybridMultilevel"/>
    <w:tmpl w:val="56E63458"/>
    <w:lvl w:ilvl="0" w:tplc="0C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4B2B02C3"/>
    <w:multiLevelType w:val="hybridMultilevel"/>
    <w:tmpl w:val="427E3A8A"/>
    <w:lvl w:ilvl="0" w:tplc="0C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57977964"/>
    <w:multiLevelType w:val="hybridMultilevel"/>
    <w:tmpl w:val="B1800800"/>
    <w:lvl w:ilvl="0" w:tplc="FFFFFFFF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58AA4832"/>
    <w:multiLevelType w:val="hybridMultilevel"/>
    <w:tmpl w:val="467A408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9FF2F5E"/>
    <w:multiLevelType w:val="hybridMultilevel"/>
    <w:tmpl w:val="AEE03B4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6608B4"/>
    <w:multiLevelType w:val="hybridMultilevel"/>
    <w:tmpl w:val="80387C2C"/>
    <w:lvl w:ilvl="0" w:tplc="0C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12"/>
  </w:num>
  <w:num w:numId="5">
    <w:abstractNumId w:val="2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0"/>
  </w:num>
  <w:num w:numId="11">
    <w:abstractNumId w:val="0"/>
  </w:num>
  <w:num w:numId="12">
    <w:abstractNumId w:val="5"/>
  </w:num>
  <w:num w:numId="13">
    <w:abstractNumId w:val="1"/>
  </w:num>
  <w:num w:numId="14">
    <w:abstractNumId w:val="7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452"/>
    <w:rsid w:val="00017828"/>
    <w:rsid w:val="000213BE"/>
    <w:rsid w:val="00022042"/>
    <w:rsid w:val="00036875"/>
    <w:rsid w:val="000576BD"/>
    <w:rsid w:val="000761D7"/>
    <w:rsid w:val="00083E4A"/>
    <w:rsid w:val="000A28F2"/>
    <w:rsid w:val="000D3F14"/>
    <w:rsid w:val="000D4607"/>
    <w:rsid w:val="000E4C31"/>
    <w:rsid w:val="000F7452"/>
    <w:rsid w:val="00115FD3"/>
    <w:rsid w:val="00125D85"/>
    <w:rsid w:val="00131DCE"/>
    <w:rsid w:val="00141078"/>
    <w:rsid w:val="0016202A"/>
    <w:rsid w:val="001A3B2E"/>
    <w:rsid w:val="001B517B"/>
    <w:rsid w:val="001B7739"/>
    <w:rsid w:val="002073CC"/>
    <w:rsid w:val="0021323D"/>
    <w:rsid w:val="00213A50"/>
    <w:rsid w:val="00213C40"/>
    <w:rsid w:val="00243304"/>
    <w:rsid w:val="00261FD3"/>
    <w:rsid w:val="00264F2C"/>
    <w:rsid w:val="002A2FCD"/>
    <w:rsid w:val="002B2974"/>
    <w:rsid w:val="002B2D8C"/>
    <w:rsid w:val="002D3C10"/>
    <w:rsid w:val="002E0E8B"/>
    <w:rsid w:val="00310A48"/>
    <w:rsid w:val="00325DA3"/>
    <w:rsid w:val="00354020"/>
    <w:rsid w:val="003A1735"/>
    <w:rsid w:val="00401B7E"/>
    <w:rsid w:val="00403DD8"/>
    <w:rsid w:val="00414A05"/>
    <w:rsid w:val="004342B1"/>
    <w:rsid w:val="004359CF"/>
    <w:rsid w:val="00436401"/>
    <w:rsid w:val="00455012"/>
    <w:rsid w:val="00467058"/>
    <w:rsid w:val="004A1BD7"/>
    <w:rsid w:val="004D57F6"/>
    <w:rsid w:val="004F1703"/>
    <w:rsid w:val="005062BA"/>
    <w:rsid w:val="00512F90"/>
    <w:rsid w:val="00522D12"/>
    <w:rsid w:val="0053204E"/>
    <w:rsid w:val="00543872"/>
    <w:rsid w:val="00545003"/>
    <w:rsid w:val="00565293"/>
    <w:rsid w:val="005712EC"/>
    <w:rsid w:val="005764C7"/>
    <w:rsid w:val="005941C3"/>
    <w:rsid w:val="00594C86"/>
    <w:rsid w:val="005A2224"/>
    <w:rsid w:val="005E4898"/>
    <w:rsid w:val="005F36C4"/>
    <w:rsid w:val="00642AA7"/>
    <w:rsid w:val="006446B2"/>
    <w:rsid w:val="0064476B"/>
    <w:rsid w:val="00661664"/>
    <w:rsid w:val="00680DF0"/>
    <w:rsid w:val="00692A1A"/>
    <w:rsid w:val="00713644"/>
    <w:rsid w:val="007241B2"/>
    <w:rsid w:val="00731A0F"/>
    <w:rsid w:val="007338A5"/>
    <w:rsid w:val="007367E2"/>
    <w:rsid w:val="00774297"/>
    <w:rsid w:val="00781365"/>
    <w:rsid w:val="007B4F61"/>
    <w:rsid w:val="007C5B63"/>
    <w:rsid w:val="0082252F"/>
    <w:rsid w:val="008352B2"/>
    <w:rsid w:val="008366A2"/>
    <w:rsid w:val="00885373"/>
    <w:rsid w:val="008A5772"/>
    <w:rsid w:val="00900B32"/>
    <w:rsid w:val="00900EB2"/>
    <w:rsid w:val="00924272"/>
    <w:rsid w:val="009259C9"/>
    <w:rsid w:val="00932090"/>
    <w:rsid w:val="00933942"/>
    <w:rsid w:val="00945B03"/>
    <w:rsid w:val="00964EA1"/>
    <w:rsid w:val="009816FF"/>
    <w:rsid w:val="00990A17"/>
    <w:rsid w:val="009D2ED5"/>
    <w:rsid w:val="009D6294"/>
    <w:rsid w:val="009E1AF2"/>
    <w:rsid w:val="00A1565E"/>
    <w:rsid w:val="00A2171C"/>
    <w:rsid w:val="00A33441"/>
    <w:rsid w:val="00A41F50"/>
    <w:rsid w:val="00A97CD1"/>
    <w:rsid w:val="00AF769B"/>
    <w:rsid w:val="00B158E8"/>
    <w:rsid w:val="00B52DD1"/>
    <w:rsid w:val="00B65748"/>
    <w:rsid w:val="00B80530"/>
    <w:rsid w:val="00B97054"/>
    <w:rsid w:val="00BB12C6"/>
    <w:rsid w:val="00BC2316"/>
    <w:rsid w:val="00BC474C"/>
    <w:rsid w:val="00BD2569"/>
    <w:rsid w:val="00BE2902"/>
    <w:rsid w:val="00BE5CE4"/>
    <w:rsid w:val="00BF0B25"/>
    <w:rsid w:val="00BF3C4B"/>
    <w:rsid w:val="00C228A2"/>
    <w:rsid w:val="00C33FD2"/>
    <w:rsid w:val="00C550E2"/>
    <w:rsid w:val="00CA30E6"/>
    <w:rsid w:val="00CB1225"/>
    <w:rsid w:val="00CC4203"/>
    <w:rsid w:val="00D03CC9"/>
    <w:rsid w:val="00D10ACA"/>
    <w:rsid w:val="00D2600B"/>
    <w:rsid w:val="00D31160"/>
    <w:rsid w:val="00D50E7E"/>
    <w:rsid w:val="00D559ED"/>
    <w:rsid w:val="00D955E4"/>
    <w:rsid w:val="00DA44ED"/>
    <w:rsid w:val="00DC110B"/>
    <w:rsid w:val="00DC1FC9"/>
    <w:rsid w:val="00DC4C5B"/>
    <w:rsid w:val="00DC7675"/>
    <w:rsid w:val="00DD461F"/>
    <w:rsid w:val="00DF621A"/>
    <w:rsid w:val="00E0327A"/>
    <w:rsid w:val="00E03A9A"/>
    <w:rsid w:val="00E05439"/>
    <w:rsid w:val="00E24A04"/>
    <w:rsid w:val="00E2592F"/>
    <w:rsid w:val="00E46411"/>
    <w:rsid w:val="00EA1646"/>
    <w:rsid w:val="00EC6F60"/>
    <w:rsid w:val="00ED404C"/>
    <w:rsid w:val="00EE0C92"/>
    <w:rsid w:val="00EF2697"/>
    <w:rsid w:val="00F27303"/>
    <w:rsid w:val="00F36800"/>
    <w:rsid w:val="00F41557"/>
    <w:rsid w:val="00F52DC4"/>
    <w:rsid w:val="00F6102D"/>
    <w:rsid w:val="00FA43DE"/>
    <w:rsid w:val="00FA502F"/>
    <w:rsid w:val="00FC25DD"/>
    <w:rsid w:val="00FC5B59"/>
    <w:rsid w:val="00FE233D"/>
    <w:rsid w:val="00FE2720"/>
    <w:rsid w:val="00FE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452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7452"/>
    <w:pPr>
      <w:numPr>
        <w:numId w:val="1"/>
      </w:numPr>
      <w:spacing w:after="240" w:line="240" w:lineRule="auto"/>
      <w:contextualSpacing/>
      <w:outlineLvl w:val="0"/>
    </w:pPr>
    <w:rPr>
      <w:rFonts w:ascii="Calibri" w:eastAsiaTheme="majorEastAsia" w:hAnsi="Calibri" w:cstheme="majorBidi"/>
      <w:b/>
      <w:bCs/>
      <w:color w:val="000000" w:themeColor="text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7452"/>
    <w:pPr>
      <w:numPr>
        <w:ilvl w:val="1"/>
        <w:numId w:val="1"/>
      </w:numPr>
      <w:spacing w:before="200" w:after="0"/>
      <w:outlineLvl w:val="1"/>
    </w:pPr>
    <w:rPr>
      <w:rFonts w:ascii="Calibri" w:eastAsiaTheme="majorEastAsia" w:hAnsi="Calibr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7452"/>
    <w:pPr>
      <w:numPr>
        <w:ilvl w:val="2"/>
        <w:numId w:val="1"/>
      </w:numPr>
      <w:spacing w:before="200" w:after="0"/>
      <w:outlineLvl w:val="2"/>
    </w:pPr>
    <w:rPr>
      <w:rFonts w:ascii="Calibri" w:eastAsiaTheme="majorEastAsia" w:hAnsi="Calibr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7452"/>
    <w:pPr>
      <w:numPr>
        <w:ilvl w:val="3"/>
        <w:numId w:val="1"/>
      </w:numPr>
      <w:spacing w:before="200" w:after="0"/>
      <w:outlineLvl w:val="3"/>
    </w:pPr>
    <w:rPr>
      <w:rFonts w:ascii="Calibri" w:eastAsiaTheme="majorEastAsia" w:hAnsi="Calibr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F7452"/>
    <w:pPr>
      <w:numPr>
        <w:ilvl w:val="4"/>
        <w:numId w:val="1"/>
      </w:numPr>
      <w:spacing w:before="200" w:after="0"/>
      <w:outlineLvl w:val="4"/>
    </w:pPr>
    <w:rPr>
      <w:rFonts w:ascii="Calibri" w:eastAsiaTheme="majorEastAsia" w:hAnsi="Calibri" w:cstheme="majorBidi"/>
      <w:b/>
      <w:bCs/>
      <w:color w:val="757575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F7452"/>
    <w:pPr>
      <w:numPr>
        <w:ilvl w:val="5"/>
        <w:numId w:val="1"/>
      </w:numPr>
      <w:spacing w:before="200" w:after="0"/>
      <w:outlineLvl w:val="5"/>
    </w:pPr>
    <w:rPr>
      <w:rFonts w:ascii="Calibri" w:eastAsiaTheme="majorEastAsia" w:hAnsi="Calibri" w:cstheme="majorBidi"/>
      <w:b/>
      <w:bCs/>
      <w:i/>
      <w:iCs/>
      <w:color w:val="75757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7452"/>
    <w:pPr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7452"/>
    <w:pPr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7452"/>
    <w:pPr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7452"/>
    <w:rPr>
      <w:rFonts w:ascii="Calibri" w:eastAsiaTheme="majorEastAsia" w:hAnsi="Calibri" w:cstheme="majorBidi"/>
      <w:b/>
      <w:bCs/>
      <w:color w:val="000000" w:themeColor="text1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F7452"/>
    <w:rPr>
      <w:rFonts w:ascii="Calibri" w:eastAsiaTheme="majorEastAsia" w:hAnsi="Calibri" w:cstheme="majorBidi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F7452"/>
    <w:rPr>
      <w:rFonts w:ascii="Calibri" w:eastAsiaTheme="majorEastAsia" w:hAnsi="Calibr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0F7452"/>
    <w:rPr>
      <w:rFonts w:ascii="Calibri" w:eastAsiaTheme="majorEastAsia" w:hAnsi="Calibr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0F7452"/>
    <w:rPr>
      <w:rFonts w:ascii="Calibri" w:eastAsiaTheme="majorEastAsia" w:hAnsi="Calibri" w:cstheme="majorBidi"/>
      <w:b/>
      <w:bCs/>
      <w:color w:val="757575"/>
    </w:rPr>
  </w:style>
  <w:style w:type="character" w:customStyle="1" w:styleId="Heading6Char">
    <w:name w:val="Heading 6 Char"/>
    <w:basedOn w:val="DefaultParagraphFont"/>
    <w:link w:val="Heading6"/>
    <w:uiPriority w:val="9"/>
    <w:rsid w:val="000F7452"/>
    <w:rPr>
      <w:rFonts w:ascii="Calibri" w:eastAsiaTheme="majorEastAsia" w:hAnsi="Calibri" w:cstheme="majorBidi"/>
      <w:b/>
      <w:bCs/>
      <w:i/>
      <w:iCs/>
      <w:color w:val="75757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745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745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745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table" w:styleId="TableGrid">
    <w:name w:val="Table Grid"/>
    <w:basedOn w:val="TableNormal"/>
    <w:uiPriority w:val="59"/>
    <w:rsid w:val="000F745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tterBody">
    <w:name w:val="Letter Body"/>
    <w:basedOn w:val="Normal"/>
    <w:qFormat/>
    <w:rsid w:val="000F7452"/>
    <w:pPr>
      <w:spacing w:after="120" w:line="240" w:lineRule="auto"/>
    </w:pPr>
    <w:rPr>
      <w:rFonts w:eastAsiaTheme="minorHAnsi"/>
    </w:rPr>
  </w:style>
  <w:style w:type="paragraph" w:styleId="ListParagraph">
    <w:name w:val="List Paragraph"/>
    <w:aliases w:val="L,List Paragraph1,List Paragraph11,Recommendation,bullet point list,Bullet point,List Paragraph111,List Paragraph2,Indented bullet,0Bullet,1 heading,Dot point 1.5 line spacing,List Paragraph - bullets,NFP GP Bulleted List"/>
    <w:basedOn w:val="Normal"/>
    <w:link w:val="ListParagraphChar"/>
    <w:uiPriority w:val="34"/>
    <w:qFormat/>
    <w:rsid w:val="00F52DC4"/>
    <w:pPr>
      <w:ind w:left="720"/>
      <w:contextualSpacing/>
    </w:pPr>
  </w:style>
  <w:style w:type="paragraph" w:customStyle="1" w:styleId="Default">
    <w:name w:val="Default"/>
    <w:basedOn w:val="Normal"/>
    <w:rsid w:val="00FC5B59"/>
    <w:pPr>
      <w:autoSpaceDE w:val="0"/>
      <w:autoSpaceDN w:val="0"/>
      <w:spacing w:after="0" w:line="240" w:lineRule="auto"/>
    </w:pPr>
    <w:rPr>
      <w:rFonts w:ascii="Calibri" w:eastAsiaTheme="minorHAnsi" w:hAnsi="Calibri" w:cs="Times New Roman"/>
      <w:color w:val="000000"/>
      <w:sz w:val="24"/>
      <w:szCs w:val="24"/>
      <w:lang w:eastAsia="en-AU"/>
    </w:rPr>
  </w:style>
  <w:style w:type="paragraph" w:styleId="NoSpacing">
    <w:name w:val="No Spacing"/>
    <w:uiPriority w:val="1"/>
    <w:qFormat/>
    <w:rsid w:val="00EE0C92"/>
    <w:pPr>
      <w:spacing w:after="0" w:line="240" w:lineRule="auto"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8A5772"/>
    <w:pPr>
      <w:numPr>
        <w:numId w:val="8"/>
      </w:numPr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B29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2974"/>
    <w:rPr>
      <w:rFonts w:eastAsiaTheme="minorEastAsia"/>
      <w:sz w:val="20"/>
      <w:szCs w:val="20"/>
    </w:rPr>
  </w:style>
  <w:style w:type="paragraph" w:styleId="ListBullet2">
    <w:name w:val="List Bullet 2"/>
    <w:basedOn w:val="Normal"/>
    <w:uiPriority w:val="99"/>
    <w:unhideWhenUsed/>
    <w:rsid w:val="005A2224"/>
    <w:pPr>
      <w:spacing w:after="120"/>
      <w:ind w:left="766" w:hanging="369"/>
      <w:contextualSpacing/>
    </w:pPr>
  </w:style>
  <w:style w:type="paragraph" w:styleId="ListBullet3">
    <w:name w:val="List Bullet 3"/>
    <w:basedOn w:val="Normal"/>
    <w:uiPriority w:val="99"/>
    <w:unhideWhenUsed/>
    <w:rsid w:val="005A2224"/>
    <w:pPr>
      <w:spacing w:after="120"/>
      <w:ind w:left="1163" w:hanging="369"/>
      <w:contextualSpacing/>
    </w:pPr>
  </w:style>
  <w:style w:type="paragraph" w:styleId="ListBullet4">
    <w:name w:val="List Bullet 4"/>
    <w:basedOn w:val="Normal"/>
    <w:uiPriority w:val="99"/>
    <w:unhideWhenUsed/>
    <w:rsid w:val="005A2224"/>
    <w:pPr>
      <w:spacing w:after="120"/>
      <w:ind w:left="1503" w:hanging="369"/>
      <w:contextualSpacing/>
    </w:pPr>
  </w:style>
  <w:style w:type="character" w:customStyle="1" w:styleId="ListParagraphChar">
    <w:name w:val="List Paragraph Char"/>
    <w:aliases w:val="L Char,List Paragraph1 Char,List Paragraph11 Char,Recommendation Char,bullet point list Char,Bullet point Char,List Paragraph111 Char,List Paragraph2 Char,Indented bullet Char,0Bullet Char,1 heading Char,List Paragraph - bullets Char"/>
    <w:basedOn w:val="DefaultParagraphFont"/>
    <w:link w:val="ListParagraph"/>
    <w:uiPriority w:val="34"/>
    <w:locked/>
    <w:rsid w:val="005A2224"/>
    <w:rPr>
      <w:rFonts w:eastAsiaTheme="minorEastAsia"/>
    </w:rPr>
  </w:style>
  <w:style w:type="paragraph" w:styleId="Header">
    <w:name w:val="header"/>
    <w:basedOn w:val="Normal"/>
    <w:link w:val="HeaderChar"/>
    <w:uiPriority w:val="99"/>
    <w:semiHidden/>
    <w:unhideWhenUsed/>
    <w:rsid w:val="00F415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155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415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557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A97CD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CD1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CD1"/>
    <w:rPr>
      <w:rFonts w:ascii="Tahoma" w:eastAsiaTheme="minorEastAsia" w:hAnsi="Tahoma" w:cs="Tahoma"/>
      <w:sz w:val="16"/>
      <w:szCs w:val="16"/>
    </w:rPr>
  </w:style>
  <w:style w:type="character" w:customStyle="1" w:styleId="st1">
    <w:name w:val="st1"/>
    <w:basedOn w:val="DefaultParagraphFont"/>
    <w:rsid w:val="00EC6F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452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7452"/>
    <w:pPr>
      <w:numPr>
        <w:numId w:val="1"/>
      </w:numPr>
      <w:spacing w:after="240" w:line="240" w:lineRule="auto"/>
      <w:contextualSpacing/>
      <w:outlineLvl w:val="0"/>
    </w:pPr>
    <w:rPr>
      <w:rFonts w:ascii="Calibri" w:eastAsiaTheme="majorEastAsia" w:hAnsi="Calibri" w:cstheme="majorBidi"/>
      <w:b/>
      <w:bCs/>
      <w:color w:val="000000" w:themeColor="text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7452"/>
    <w:pPr>
      <w:numPr>
        <w:ilvl w:val="1"/>
        <w:numId w:val="1"/>
      </w:numPr>
      <w:spacing w:before="200" w:after="0"/>
      <w:outlineLvl w:val="1"/>
    </w:pPr>
    <w:rPr>
      <w:rFonts w:ascii="Calibri" w:eastAsiaTheme="majorEastAsia" w:hAnsi="Calibr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7452"/>
    <w:pPr>
      <w:numPr>
        <w:ilvl w:val="2"/>
        <w:numId w:val="1"/>
      </w:numPr>
      <w:spacing w:before="200" w:after="0"/>
      <w:outlineLvl w:val="2"/>
    </w:pPr>
    <w:rPr>
      <w:rFonts w:ascii="Calibri" w:eastAsiaTheme="majorEastAsia" w:hAnsi="Calibr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7452"/>
    <w:pPr>
      <w:numPr>
        <w:ilvl w:val="3"/>
        <w:numId w:val="1"/>
      </w:numPr>
      <w:spacing w:before="200" w:after="0"/>
      <w:outlineLvl w:val="3"/>
    </w:pPr>
    <w:rPr>
      <w:rFonts w:ascii="Calibri" w:eastAsiaTheme="majorEastAsia" w:hAnsi="Calibr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F7452"/>
    <w:pPr>
      <w:numPr>
        <w:ilvl w:val="4"/>
        <w:numId w:val="1"/>
      </w:numPr>
      <w:spacing w:before="200" w:after="0"/>
      <w:outlineLvl w:val="4"/>
    </w:pPr>
    <w:rPr>
      <w:rFonts w:ascii="Calibri" w:eastAsiaTheme="majorEastAsia" w:hAnsi="Calibri" w:cstheme="majorBidi"/>
      <w:b/>
      <w:bCs/>
      <w:color w:val="757575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F7452"/>
    <w:pPr>
      <w:numPr>
        <w:ilvl w:val="5"/>
        <w:numId w:val="1"/>
      </w:numPr>
      <w:spacing w:before="200" w:after="0"/>
      <w:outlineLvl w:val="5"/>
    </w:pPr>
    <w:rPr>
      <w:rFonts w:ascii="Calibri" w:eastAsiaTheme="majorEastAsia" w:hAnsi="Calibri" w:cstheme="majorBidi"/>
      <w:b/>
      <w:bCs/>
      <w:i/>
      <w:iCs/>
      <w:color w:val="75757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7452"/>
    <w:pPr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7452"/>
    <w:pPr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7452"/>
    <w:pPr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7452"/>
    <w:rPr>
      <w:rFonts w:ascii="Calibri" w:eastAsiaTheme="majorEastAsia" w:hAnsi="Calibri" w:cstheme="majorBidi"/>
      <w:b/>
      <w:bCs/>
      <w:color w:val="000000" w:themeColor="text1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F7452"/>
    <w:rPr>
      <w:rFonts w:ascii="Calibri" w:eastAsiaTheme="majorEastAsia" w:hAnsi="Calibri" w:cstheme="majorBidi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F7452"/>
    <w:rPr>
      <w:rFonts w:ascii="Calibri" w:eastAsiaTheme="majorEastAsia" w:hAnsi="Calibr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0F7452"/>
    <w:rPr>
      <w:rFonts w:ascii="Calibri" w:eastAsiaTheme="majorEastAsia" w:hAnsi="Calibr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0F7452"/>
    <w:rPr>
      <w:rFonts w:ascii="Calibri" w:eastAsiaTheme="majorEastAsia" w:hAnsi="Calibri" w:cstheme="majorBidi"/>
      <w:b/>
      <w:bCs/>
      <w:color w:val="757575"/>
    </w:rPr>
  </w:style>
  <w:style w:type="character" w:customStyle="1" w:styleId="Heading6Char">
    <w:name w:val="Heading 6 Char"/>
    <w:basedOn w:val="DefaultParagraphFont"/>
    <w:link w:val="Heading6"/>
    <w:uiPriority w:val="9"/>
    <w:rsid w:val="000F7452"/>
    <w:rPr>
      <w:rFonts w:ascii="Calibri" w:eastAsiaTheme="majorEastAsia" w:hAnsi="Calibri" w:cstheme="majorBidi"/>
      <w:b/>
      <w:bCs/>
      <w:i/>
      <w:iCs/>
      <w:color w:val="75757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745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745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745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table" w:styleId="TableGrid">
    <w:name w:val="Table Grid"/>
    <w:basedOn w:val="TableNormal"/>
    <w:uiPriority w:val="59"/>
    <w:rsid w:val="000F745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tterBody">
    <w:name w:val="Letter Body"/>
    <w:basedOn w:val="Normal"/>
    <w:qFormat/>
    <w:rsid w:val="000F7452"/>
    <w:pPr>
      <w:spacing w:after="120" w:line="240" w:lineRule="auto"/>
    </w:pPr>
    <w:rPr>
      <w:rFonts w:eastAsiaTheme="minorHAnsi"/>
    </w:rPr>
  </w:style>
  <w:style w:type="paragraph" w:styleId="ListParagraph">
    <w:name w:val="List Paragraph"/>
    <w:aliases w:val="L,List Paragraph1,List Paragraph11,Recommendation,bullet point list,Bullet point,List Paragraph111,List Paragraph2,Indented bullet,0Bullet,1 heading,Dot point 1.5 line spacing,List Paragraph - bullets,NFP GP Bulleted List"/>
    <w:basedOn w:val="Normal"/>
    <w:link w:val="ListParagraphChar"/>
    <w:uiPriority w:val="34"/>
    <w:qFormat/>
    <w:rsid w:val="00F52DC4"/>
    <w:pPr>
      <w:ind w:left="720"/>
      <w:contextualSpacing/>
    </w:pPr>
  </w:style>
  <w:style w:type="paragraph" w:customStyle="1" w:styleId="Default">
    <w:name w:val="Default"/>
    <w:basedOn w:val="Normal"/>
    <w:rsid w:val="00FC5B59"/>
    <w:pPr>
      <w:autoSpaceDE w:val="0"/>
      <w:autoSpaceDN w:val="0"/>
      <w:spacing w:after="0" w:line="240" w:lineRule="auto"/>
    </w:pPr>
    <w:rPr>
      <w:rFonts w:ascii="Calibri" w:eastAsiaTheme="minorHAnsi" w:hAnsi="Calibri" w:cs="Times New Roman"/>
      <w:color w:val="000000"/>
      <w:sz w:val="24"/>
      <w:szCs w:val="24"/>
      <w:lang w:eastAsia="en-AU"/>
    </w:rPr>
  </w:style>
  <w:style w:type="paragraph" w:styleId="NoSpacing">
    <w:name w:val="No Spacing"/>
    <w:uiPriority w:val="1"/>
    <w:qFormat/>
    <w:rsid w:val="00EE0C92"/>
    <w:pPr>
      <w:spacing w:after="0" w:line="240" w:lineRule="auto"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8A5772"/>
    <w:pPr>
      <w:numPr>
        <w:numId w:val="8"/>
      </w:numPr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B29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2974"/>
    <w:rPr>
      <w:rFonts w:eastAsiaTheme="minorEastAsia"/>
      <w:sz w:val="20"/>
      <w:szCs w:val="20"/>
    </w:rPr>
  </w:style>
  <w:style w:type="paragraph" w:styleId="ListBullet2">
    <w:name w:val="List Bullet 2"/>
    <w:basedOn w:val="Normal"/>
    <w:uiPriority w:val="99"/>
    <w:unhideWhenUsed/>
    <w:rsid w:val="005A2224"/>
    <w:pPr>
      <w:spacing w:after="120"/>
      <w:ind w:left="766" w:hanging="369"/>
      <w:contextualSpacing/>
    </w:pPr>
  </w:style>
  <w:style w:type="paragraph" w:styleId="ListBullet3">
    <w:name w:val="List Bullet 3"/>
    <w:basedOn w:val="Normal"/>
    <w:uiPriority w:val="99"/>
    <w:unhideWhenUsed/>
    <w:rsid w:val="005A2224"/>
    <w:pPr>
      <w:spacing w:after="120"/>
      <w:ind w:left="1163" w:hanging="369"/>
      <w:contextualSpacing/>
    </w:pPr>
  </w:style>
  <w:style w:type="paragraph" w:styleId="ListBullet4">
    <w:name w:val="List Bullet 4"/>
    <w:basedOn w:val="Normal"/>
    <w:uiPriority w:val="99"/>
    <w:unhideWhenUsed/>
    <w:rsid w:val="005A2224"/>
    <w:pPr>
      <w:spacing w:after="120"/>
      <w:ind w:left="1503" w:hanging="369"/>
      <w:contextualSpacing/>
    </w:pPr>
  </w:style>
  <w:style w:type="character" w:customStyle="1" w:styleId="ListParagraphChar">
    <w:name w:val="List Paragraph Char"/>
    <w:aliases w:val="L Char,List Paragraph1 Char,List Paragraph11 Char,Recommendation Char,bullet point list Char,Bullet point Char,List Paragraph111 Char,List Paragraph2 Char,Indented bullet Char,0Bullet Char,1 heading Char,List Paragraph - bullets Char"/>
    <w:basedOn w:val="DefaultParagraphFont"/>
    <w:link w:val="ListParagraph"/>
    <w:uiPriority w:val="34"/>
    <w:locked/>
    <w:rsid w:val="005A2224"/>
    <w:rPr>
      <w:rFonts w:eastAsiaTheme="minorEastAsia"/>
    </w:rPr>
  </w:style>
  <w:style w:type="paragraph" w:styleId="Header">
    <w:name w:val="header"/>
    <w:basedOn w:val="Normal"/>
    <w:link w:val="HeaderChar"/>
    <w:uiPriority w:val="99"/>
    <w:semiHidden/>
    <w:unhideWhenUsed/>
    <w:rsid w:val="00F415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155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415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557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A97CD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CD1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CD1"/>
    <w:rPr>
      <w:rFonts w:ascii="Tahoma" w:eastAsiaTheme="minorEastAsia" w:hAnsi="Tahoma" w:cs="Tahoma"/>
      <w:sz w:val="16"/>
      <w:szCs w:val="16"/>
    </w:rPr>
  </w:style>
  <w:style w:type="character" w:customStyle="1" w:styleId="st1">
    <w:name w:val="st1"/>
    <w:basedOn w:val="DefaultParagraphFont"/>
    <w:rsid w:val="00EC6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7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1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7781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7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9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204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79C7E9F21B2A4CBC8DA1E8C7C01ED9" ma:contentTypeVersion="1" ma:contentTypeDescription="Create a new document." ma:contentTypeScope="" ma:versionID="1b2904a410b13c38b89ea121d0a199a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6656DE2-8377-4999-855D-EBC60B0C952A}"/>
</file>

<file path=customXml/itemProps2.xml><?xml version="1.0" encoding="utf-8"?>
<ds:datastoreItem xmlns:ds="http://schemas.openxmlformats.org/officeDocument/2006/customXml" ds:itemID="{86546A5C-9C5A-4BDD-B339-7D22A4208F35}"/>
</file>

<file path=customXml/itemProps3.xml><?xml version="1.0" encoding="utf-8"?>
<ds:datastoreItem xmlns:ds="http://schemas.openxmlformats.org/officeDocument/2006/customXml" ds:itemID="{76581557-15F9-4DC0-8CC9-957E78986834}"/>
</file>

<file path=customXml/itemProps4.xml><?xml version="1.0" encoding="utf-8"?>
<ds:datastoreItem xmlns:ds="http://schemas.openxmlformats.org/officeDocument/2006/customXml" ds:itemID="{C2A5B1F8-816B-4D69-BCB2-4D853E8499A5}"/>
</file>

<file path=docProps/app.xml><?xml version="1.0" encoding="utf-8"?>
<Properties xmlns="http://schemas.openxmlformats.org/officeDocument/2006/extended-properties" xmlns:vt="http://schemas.openxmlformats.org/officeDocument/2006/docPropsVTypes">
  <Template>D6AEE2F.dotm</Template>
  <TotalTime>0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Wotton</dc:creator>
  <cp:lastModifiedBy>Margaret O'Connor</cp:lastModifiedBy>
  <cp:revision>3</cp:revision>
  <cp:lastPrinted>2016-09-15T03:12:00Z</cp:lastPrinted>
  <dcterms:created xsi:type="dcterms:W3CDTF">2016-09-16T05:56:00Z</dcterms:created>
  <dcterms:modified xsi:type="dcterms:W3CDTF">2016-09-21T07:28:00Z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0x0101005E79C7E9F21B2A4CBC8DA1E8C7C01ED9</vt:lpwstr>
  </property>
</Properties>
</file>